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5EC2E" w14:textId="16F3643D" w:rsidR="00B44296" w:rsidRDefault="00F65D44" w:rsidP="00F65D44">
      <w:pPr>
        <w:tabs>
          <w:tab w:val="left" w:pos="4512"/>
          <w:tab w:val="center" w:pos="4680"/>
        </w:tabs>
        <w:rPr>
          <w:b/>
          <w:bCs/>
          <w:sz w:val="28"/>
          <w:szCs w:val="28"/>
        </w:rPr>
      </w:pPr>
      <w:r>
        <w:rPr>
          <w:b/>
          <w:bCs/>
          <w:sz w:val="28"/>
          <w:szCs w:val="28"/>
        </w:rPr>
        <w:tab/>
      </w:r>
    </w:p>
    <w:p w14:paraId="2A82510B" w14:textId="77777777" w:rsidR="00B44296" w:rsidRDefault="00B44296" w:rsidP="00B44296">
      <w:pPr>
        <w:jc w:val="center"/>
        <w:rPr>
          <w:b/>
          <w:bCs/>
          <w:sz w:val="28"/>
          <w:szCs w:val="28"/>
        </w:rPr>
      </w:pPr>
    </w:p>
    <w:p w14:paraId="646BCC8A" w14:textId="5385B947" w:rsidR="00B44296" w:rsidRPr="001622C9" w:rsidRDefault="6C6D6F58" w:rsidP="6C6D6F58">
      <w:pPr>
        <w:jc w:val="center"/>
        <w:rPr>
          <w:rFonts w:ascii="Calibri" w:eastAsia="Calibri" w:hAnsi="Calibri" w:cs="Calibri"/>
          <w:b/>
          <w:bCs/>
          <w:color w:val="000000" w:themeColor="text1"/>
          <w:sz w:val="72"/>
          <w:szCs w:val="72"/>
        </w:rPr>
      </w:pPr>
      <w:r w:rsidRPr="6C6D6F58">
        <w:rPr>
          <w:rFonts w:ascii="Calibri" w:eastAsia="Calibri" w:hAnsi="Calibri" w:cs="Calibri"/>
          <w:b/>
          <w:bCs/>
          <w:color w:val="000000" w:themeColor="text1"/>
          <w:sz w:val="72"/>
          <w:szCs w:val="72"/>
        </w:rPr>
        <w:t>2025 Legislative Summary</w:t>
      </w:r>
    </w:p>
    <w:p w14:paraId="1692B728" w14:textId="77777777" w:rsidR="00B44296" w:rsidRPr="001622C9" w:rsidRDefault="6C6D6F58" w:rsidP="6C6D6F58">
      <w:pPr>
        <w:jc w:val="center"/>
        <w:rPr>
          <w:rFonts w:ascii="Calibri" w:eastAsia="Calibri" w:hAnsi="Calibri" w:cs="Calibri"/>
          <w:b/>
          <w:bCs/>
          <w:color w:val="000000" w:themeColor="text1"/>
          <w:sz w:val="72"/>
          <w:szCs w:val="72"/>
        </w:rPr>
      </w:pPr>
      <w:r w:rsidRPr="6C6D6F58">
        <w:rPr>
          <w:rFonts w:ascii="Calibri" w:eastAsia="Calibri" w:hAnsi="Calibri" w:cs="Calibri"/>
          <w:b/>
          <w:bCs/>
          <w:color w:val="000000" w:themeColor="text1"/>
          <w:sz w:val="72"/>
          <w:szCs w:val="72"/>
        </w:rPr>
        <w:t>Local Government Finance</w:t>
      </w:r>
    </w:p>
    <w:p w14:paraId="15893806" w14:textId="77777777" w:rsidR="00B44296" w:rsidRPr="001622C9" w:rsidRDefault="00B44296" w:rsidP="00B44296">
      <w:pPr>
        <w:spacing w:line="360" w:lineRule="auto"/>
        <w:jc w:val="center"/>
        <w:rPr>
          <w:rFonts w:ascii="Arial" w:eastAsia="Arial" w:hAnsi="Arial" w:cs="Arial"/>
          <w:b/>
          <w:bCs/>
          <w:color w:val="000000" w:themeColor="text1"/>
          <w:sz w:val="56"/>
          <w:szCs w:val="56"/>
        </w:rPr>
      </w:pPr>
    </w:p>
    <w:p w14:paraId="66D334C0" w14:textId="4158EF77" w:rsidR="00B44296" w:rsidRPr="001622C9" w:rsidRDefault="00B44296" w:rsidP="00EF28DA">
      <w:pPr>
        <w:jc w:val="center"/>
        <w:rPr>
          <w:rFonts w:ascii="Calibri" w:eastAsia="Calibri" w:hAnsi="Calibri" w:cs="Calibri"/>
          <w:b/>
          <w:bCs/>
          <w:color w:val="000000"/>
          <w:sz w:val="56"/>
          <w:szCs w:val="56"/>
        </w:rPr>
      </w:pPr>
      <w:r w:rsidRPr="001622C9">
        <w:rPr>
          <w:rFonts w:ascii="Arial" w:hAnsi="Arial" w:cs="Arial"/>
          <w:noProof/>
        </w:rPr>
        <w:drawing>
          <wp:anchor distT="0" distB="0" distL="114300" distR="114300" simplePos="0" relativeHeight="251659264" behindDoc="1" locked="0" layoutInCell="1" allowOverlap="1" wp14:anchorId="099E6A41" wp14:editId="1D5EF15E">
            <wp:simplePos x="0" y="0"/>
            <wp:positionH relativeFrom="margin">
              <wp:align>center</wp:align>
            </wp:positionH>
            <wp:positionV relativeFrom="paragraph">
              <wp:posOffset>62442</wp:posOffset>
            </wp:positionV>
            <wp:extent cx="3749040" cy="3749040"/>
            <wp:effectExtent l="0" t="0" r="3810" b="3810"/>
            <wp:wrapTight wrapText="bothSides">
              <wp:wrapPolygon edited="0">
                <wp:start x="0" y="0"/>
                <wp:lineTo x="0" y="21512"/>
                <wp:lineTo x="21512" y="21512"/>
                <wp:lineTo x="21512" y="0"/>
                <wp:lineTo x="0" y="0"/>
              </wp:wrapPolygon>
            </wp:wrapTight>
            <wp:docPr id="2075686824" name="Picture 28" descr="FGFOA-logo-pms-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anchor>
        </w:drawing>
      </w:r>
      <w:r w:rsidR="6C6D6F58" w:rsidRPr="6C6D6F58">
        <w:rPr>
          <w:rFonts w:ascii="Calibri" w:eastAsia="Calibri" w:hAnsi="Calibri" w:cs="Calibri"/>
          <w:b/>
          <w:bCs/>
          <w:color w:val="000000" w:themeColor="text1"/>
          <w:sz w:val="56"/>
          <w:szCs w:val="56"/>
        </w:rPr>
        <w:t xml:space="preserve">Florida Government Finance Officers Association </w:t>
      </w:r>
    </w:p>
    <w:p w14:paraId="1C6412FF" w14:textId="77777777" w:rsidR="00EF28DA" w:rsidRDefault="00EF28DA" w:rsidP="6C6D6F58">
      <w:pPr>
        <w:jc w:val="center"/>
        <w:rPr>
          <w:rFonts w:ascii="Calibri" w:eastAsia="Calibri" w:hAnsi="Calibri" w:cs="Calibri"/>
        </w:rPr>
      </w:pPr>
    </w:p>
    <w:p w14:paraId="0F3361C8" w14:textId="77777777" w:rsidR="00EF28DA" w:rsidRDefault="00EF28DA" w:rsidP="6C6D6F58">
      <w:pPr>
        <w:jc w:val="center"/>
        <w:rPr>
          <w:rFonts w:ascii="Calibri" w:eastAsia="Calibri" w:hAnsi="Calibri" w:cs="Calibri"/>
        </w:rPr>
      </w:pPr>
    </w:p>
    <w:p w14:paraId="1240E78C" w14:textId="5B10E581" w:rsidR="00EF28DA" w:rsidRDefault="00EF28DA" w:rsidP="6C6D6F58">
      <w:pPr>
        <w:jc w:val="center"/>
        <w:rPr>
          <w:rFonts w:ascii="Calibri" w:eastAsia="Calibri" w:hAnsi="Calibri" w:cs="Calibri"/>
        </w:rPr>
      </w:pPr>
    </w:p>
    <w:p w14:paraId="32416ACB" w14:textId="77777777" w:rsidR="00EF28DA" w:rsidRDefault="00EF28DA" w:rsidP="6C6D6F58">
      <w:pPr>
        <w:jc w:val="center"/>
        <w:rPr>
          <w:rFonts w:ascii="Calibri" w:eastAsia="Calibri" w:hAnsi="Calibri" w:cs="Calibri"/>
        </w:rPr>
      </w:pPr>
    </w:p>
    <w:p w14:paraId="622A3AEE" w14:textId="77777777" w:rsidR="00EF28DA" w:rsidRDefault="00EF28DA" w:rsidP="6C6D6F58">
      <w:pPr>
        <w:jc w:val="center"/>
        <w:rPr>
          <w:rFonts w:ascii="Calibri" w:eastAsia="Calibri" w:hAnsi="Calibri" w:cs="Calibri"/>
        </w:rPr>
      </w:pPr>
    </w:p>
    <w:p w14:paraId="4F9BA994" w14:textId="3F0F4856" w:rsidR="00B44296" w:rsidRPr="001622C9" w:rsidRDefault="00EF28DA" w:rsidP="6C6D6F58">
      <w:pPr>
        <w:jc w:val="center"/>
        <w:rPr>
          <w:rFonts w:ascii="Calibri" w:eastAsia="Calibri" w:hAnsi="Calibri" w:cs="Calibri"/>
        </w:rPr>
      </w:pPr>
      <w:r>
        <w:rPr>
          <w:rFonts w:ascii="Calibri" w:eastAsia="Calibri" w:hAnsi="Calibri" w:cs="Calibri"/>
        </w:rPr>
        <w:t xml:space="preserve">Updated August </w:t>
      </w:r>
      <w:r w:rsidR="00822DCD">
        <w:rPr>
          <w:rFonts w:ascii="Calibri" w:eastAsia="Calibri" w:hAnsi="Calibri" w:cs="Calibri"/>
        </w:rPr>
        <w:t>2</w:t>
      </w:r>
      <w:r w:rsidR="0026135D">
        <w:rPr>
          <w:rFonts w:ascii="Calibri" w:eastAsia="Calibri" w:hAnsi="Calibri" w:cs="Calibri"/>
        </w:rPr>
        <w:t>8</w:t>
      </w:r>
      <w:r>
        <w:rPr>
          <w:rFonts w:ascii="Calibri" w:eastAsia="Calibri" w:hAnsi="Calibri" w:cs="Calibri"/>
        </w:rPr>
        <w:t>, 2025</w:t>
      </w:r>
      <w:r w:rsidR="00B44296" w:rsidRPr="6C6D6F58">
        <w:rPr>
          <w:rFonts w:ascii="Calibri" w:eastAsia="Calibri" w:hAnsi="Calibri" w:cs="Calibri"/>
        </w:rPr>
        <w:br w:type="page"/>
      </w:r>
    </w:p>
    <w:sdt>
      <w:sdtPr>
        <w:rPr>
          <w:rFonts w:asciiTheme="minorHAnsi" w:eastAsiaTheme="minorEastAsia" w:hAnsiTheme="minorHAnsi" w:cs="Times New Roman"/>
          <w:noProof/>
          <w:color w:val="auto"/>
          <w:sz w:val="22"/>
          <w:szCs w:val="24"/>
        </w:rPr>
        <w:id w:val="1163184418"/>
        <w:docPartObj>
          <w:docPartGallery w:val="Table of Contents"/>
          <w:docPartUnique/>
        </w:docPartObj>
      </w:sdtPr>
      <w:sdtEndPr>
        <w:rPr>
          <w:rFonts w:eastAsia="Times New Roman"/>
          <w:color w:val="000000" w:themeColor="text1"/>
        </w:rPr>
      </w:sdtEndPr>
      <w:sdtContent>
        <w:p w14:paraId="21C567F6" w14:textId="77777777" w:rsidR="00B44296" w:rsidRPr="001622C9" w:rsidRDefault="6C6D6F58" w:rsidP="00B7501A">
          <w:pPr>
            <w:pStyle w:val="TOCHeading"/>
            <w:spacing w:line="200" w:lineRule="exact"/>
            <w:rPr>
              <w:rFonts w:ascii="Cambria" w:eastAsia="Times New Roman" w:hAnsi="Cambria" w:cs="Arial"/>
              <w:b/>
              <w:bCs/>
              <w:color w:val="365F91"/>
              <w:sz w:val="28"/>
              <w:szCs w:val="28"/>
            </w:rPr>
          </w:pPr>
          <w:r w:rsidRPr="6C6D6F58">
            <w:rPr>
              <w:rFonts w:ascii="Cambria" w:eastAsia="Times New Roman" w:hAnsi="Cambria" w:cs="Arial"/>
              <w:b/>
              <w:bCs/>
              <w:color w:val="365F91"/>
              <w:sz w:val="28"/>
              <w:szCs w:val="28"/>
            </w:rPr>
            <w:t>Contents</w:t>
          </w:r>
        </w:p>
        <w:p w14:paraId="312DA5FD" w14:textId="7F1FEFE4" w:rsidR="00D303BC" w:rsidRDefault="00A206F2" w:rsidP="00B7501A">
          <w:pPr>
            <w:pStyle w:val="TOC1"/>
            <w:spacing w:line="200" w:lineRule="exact"/>
            <w:rPr>
              <w:rFonts w:cstheme="minorBidi"/>
              <w:b w:val="0"/>
              <w:bCs w:val="0"/>
              <w:kern w:val="2"/>
              <w:sz w:val="24"/>
              <w14:ligatures w14:val="standardContextual"/>
            </w:rPr>
          </w:pPr>
          <w:r>
            <w:fldChar w:fldCharType="begin"/>
          </w:r>
          <w:r w:rsidR="00B44296">
            <w:instrText>TOC \o "1-3" \z \u \h</w:instrText>
          </w:r>
          <w:r>
            <w:fldChar w:fldCharType="separate"/>
          </w:r>
          <w:hyperlink w:anchor="_Toc205981716" w:history="1">
            <w:r w:rsidR="00D303BC" w:rsidRPr="005663A6">
              <w:rPr>
                <w:rStyle w:val="Hyperlink"/>
                <w:smallCaps/>
              </w:rPr>
              <w:t>I.</w:t>
            </w:r>
            <w:r w:rsidR="00D303BC">
              <w:rPr>
                <w:rFonts w:cstheme="minorBidi"/>
                <w:b w:val="0"/>
                <w:bCs w:val="0"/>
                <w:kern w:val="2"/>
                <w:sz w:val="24"/>
                <w14:ligatures w14:val="standardContextual"/>
              </w:rPr>
              <w:tab/>
            </w:r>
            <w:r w:rsidR="00D303BC" w:rsidRPr="005663A6">
              <w:rPr>
                <w:rStyle w:val="Hyperlink"/>
              </w:rPr>
              <w:t>PASSED BILLS</w:t>
            </w:r>
            <w:r w:rsidR="00D303BC">
              <w:rPr>
                <w:webHidden/>
              </w:rPr>
              <w:tab/>
            </w:r>
            <w:r w:rsidR="006B3E72">
              <w:rPr>
                <w:webHidden/>
              </w:rPr>
              <w:t>3</w:t>
            </w:r>
          </w:hyperlink>
        </w:p>
        <w:p w14:paraId="3F45A2C4" w14:textId="0742F3BB" w:rsidR="00D303BC" w:rsidRDefault="00D303BC" w:rsidP="00D43993">
          <w:pPr>
            <w:pStyle w:val="TOC2"/>
            <w:rPr>
              <w:rFonts w:cstheme="minorBidi"/>
              <w:kern w:val="2"/>
              <w:sz w:val="24"/>
              <w14:ligatures w14:val="standardContextual"/>
            </w:rPr>
          </w:pPr>
          <w:hyperlink w:anchor="_Toc205981717" w:history="1">
            <w:r w:rsidRPr="005663A6">
              <w:rPr>
                <w:rStyle w:val="Hyperlink"/>
              </w:rPr>
              <w:t>i.</w:t>
            </w:r>
            <w:r>
              <w:rPr>
                <w:rFonts w:cstheme="minorBidi"/>
                <w:kern w:val="2"/>
                <w:sz w:val="24"/>
                <w14:ligatures w14:val="standardContextual"/>
              </w:rPr>
              <w:tab/>
            </w:r>
            <w:r w:rsidRPr="005663A6">
              <w:rPr>
                <w:rStyle w:val="Hyperlink"/>
              </w:rPr>
              <w:t>Ad Valorem Taxation</w:t>
            </w:r>
            <w:r>
              <w:rPr>
                <w:webHidden/>
              </w:rPr>
              <w:tab/>
            </w:r>
            <w:r w:rsidR="006B3E72">
              <w:rPr>
                <w:webHidden/>
              </w:rPr>
              <w:t>3</w:t>
            </w:r>
          </w:hyperlink>
        </w:p>
        <w:p w14:paraId="6D821A75" w14:textId="04B9DF1E" w:rsidR="00D303BC" w:rsidRDefault="00D303BC" w:rsidP="00D43993">
          <w:pPr>
            <w:pStyle w:val="TOC2"/>
            <w:rPr>
              <w:rFonts w:cstheme="minorBidi"/>
              <w:kern w:val="2"/>
              <w:sz w:val="24"/>
              <w14:ligatures w14:val="standardContextual"/>
            </w:rPr>
          </w:pPr>
          <w:hyperlink w:anchor="_Toc205981718" w:history="1">
            <w:r w:rsidRPr="005663A6">
              <w:rPr>
                <w:rStyle w:val="Hyperlink"/>
              </w:rPr>
              <w:t>ii.</w:t>
            </w:r>
            <w:r>
              <w:rPr>
                <w:rFonts w:cstheme="minorBidi"/>
                <w:kern w:val="2"/>
                <w:sz w:val="24"/>
                <w14:ligatures w14:val="standardContextual"/>
              </w:rPr>
              <w:tab/>
            </w:r>
            <w:r w:rsidRPr="005663A6">
              <w:rPr>
                <w:rStyle w:val="Hyperlink"/>
              </w:rPr>
              <w:t>Agricultural Worker Housing, Mosquito Control, Fluoride</w:t>
            </w:r>
            <w:r>
              <w:rPr>
                <w:webHidden/>
              </w:rPr>
              <w:tab/>
            </w:r>
            <w:r>
              <w:rPr>
                <w:webHidden/>
              </w:rPr>
              <w:fldChar w:fldCharType="begin"/>
            </w:r>
            <w:r>
              <w:rPr>
                <w:webHidden/>
              </w:rPr>
              <w:instrText xml:space="preserve"> PAGEREF _Toc205981718 \h </w:instrText>
            </w:r>
            <w:r>
              <w:rPr>
                <w:webHidden/>
              </w:rPr>
            </w:r>
            <w:r>
              <w:rPr>
                <w:webHidden/>
              </w:rPr>
              <w:fldChar w:fldCharType="separate"/>
            </w:r>
            <w:r w:rsidR="00031C01">
              <w:rPr>
                <w:webHidden/>
              </w:rPr>
              <w:t>3</w:t>
            </w:r>
            <w:r>
              <w:rPr>
                <w:webHidden/>
              </w:rPr>
              <w:fldChar w:fldCharType="end"/>
            </w:r>
          </w:hyperlink>
        </w:p>
        <w:p w14:paraId="333DF1DE" w14:textId="1C1D2D76" w:rsidR="00D303BC" w:rsidRDefault="00D303BC" w:rsidP="00D43993">
          <w:pPr>
            <w:pStyle w:val="TOC2"/>
            <w:rPr>
              <w:rFonts w:cstheme="minorBidi"/>
              <w:kern w:val="2"/>
              <w:sz w:val="24"/>
              <w14:ligatures w14:val="standardContextual"/>
            </w:rPr>
          </w:pPr>
          <w:hyperlink w:anchor="_Toc205981719" w:history="1">
            <w:r w:rsidRPr="005663A6">
              <w:rPr>
                <w:rStyle w:val="Hyperlink"/>
              </w:rPr>
              <w:t>iii.</w:t>
            </w:r>
            <w:r>
              <w:rPr>
                <w:rFonts w:cstheme="minorBidi"/>
                <w:kern w:val="2"/>
                <w:sz w:val="24"/>
                <w14:ligatures w14:val="standardContextual"/>
              </w:rPr>
              <w:tab/>
            </w:r>
            <w:r w:rsidRPr="005663A6">
              <w:rPr>
                <w:rStyle w:val="Hyperlink"/>
              </w:rPr>
              <w:t>Building Projects</w:t>
            </w:r>
            <w:r>
              <w:rPr>
                <w:webHidden/>
              </w:rPr>
              <w:tab/>
            </w:r>
            <w:r>
              <w:rPr>
                <w:webHidden/>
              </w:rPr>
              <w:fldChar w:fldCharType="begin"/>
            </w:r>
            <w:r>
              <w:rPr>
                <w:webHidden/>
              </w:rPr>
              <w:instrText xml:space="preserve"> PAGEREF _Toc205981719 \h </w:instrText>
            </w:r>
            <w:r>
              <w:rPr>
                <w:webHidden/>
              </w:rPr>
            </w:r>
            <w:r>
              <w:rPr>
                <w:webHidden/>
              </w:rPr>
              <w:fldChar w:fldCharType="separate"/>
            </w:r>
            <w:r w:rsidR="00031C01">
              <w:rPr>
                <w:webHidden/>
              </w:rPr>
              <w:t>3</w:t>
            </w:r>
            <w:r>
              <w:rPr>
                <w:webHidden/>
              </w:rPr>
              <w:fldChar w:fldCharType="end"/>
            </w:r>
          </w:hyperlink>
        </w:p>
        <w:p w14:paraId="6A7492C2" w14:textId="27527655" w:rsidR="00D303BC" w:rsidRDefault="00D303BC" w:rsidP="00D43993">
          <w:pPr>
            <w:pStyle w:val="TOC2"/>
            <w:rPr>
              <w:rFonts w:cstheme="minorBidi"/>
              <w:kern w:val="2"/>
              <w:sz w:val="24"/>
              <w14:ligatures w14:val="standardContextual"/>
            </w:rPr>
          </w:pPr>
          <w:hyperlink w:anchor="_Toc205981720" w:history="1">
            <w:r w:rsidRPr="005663A6">
              <w:rPr>
                <w:rStyle w:val="Hyperlink"/>
              </w:rPr>
              <w:t>iv.</w:t>
            </w:r>
            <w:r>
              <w:rPr>
                <w:rFonts w:cstheme="minorBidi"/>
                <w:kern w:val="2"/>
                <w:sz w:val="24"/>
                <w14:ligatures w14:val="standardContextual"/>
              </w:rPr>
              <w:tab/>
            </w:r>
            <w:r w:rsidRPr="005663A6">
              <w:rPr>
                <w:rStyle w:val="Hyperlink"/>
              </w:rPr>
              <w:t>Building Regulations</w:t>
            </w:r>
            <w:r>
              <w:rPr>
                <w:webHidden/>
              </w:rPr>
              <w:tab/>
            </w:r>
            <w:r>
              <w:rPr>
                <w:webHidden/>
              </w:rPr>
              <w:fldChar w:fldCharType="begin"/>
            </w:r>
            <w:r>
              <w:rPr>
                <w:webHidden/>
              </w:rPr>
              <w:instrText xml:space="preserve"> PAGEREF _Toc205981720 \h </w:instrText>
            </w:r>
            <w:r>
              <w:rPr>
                <w:webHidden/>
              </w:rPr>
            </w:r>
            <w:r>
              <w:rPr>
                <w:webHidden/>
              </w:rPr>
              <w:fldChar w:fldCharType="separate"/>
            </w:r>
            <w:r w:rsidR="00031C01">
              <w:rPr>
                <w:webHidden/>
              </w:rPr>
              <w:t>4</w:t>
            </w:r>
            <w:r>
              <w:rPr>
                <w:webHidden/>
              </w:rPr>
              <w:fldChar w:fldCharType="end"/>
            </w:r>
          </w:hyperlink>
        </w:p>
        <w:p w14:paraId="152F16C3" w14:textId="08F0DB67" w:rsidR="00D303BC" w:rsidRDefault="00D303BC" w:rsidP="00D43993">
          <w:pPr>
            <w:pStyle w:val="TOC2"/>
            <w:rPr>
              <w:rFonts w:cstheme="minorBidi"/>
              <w:kern w:val="2"/>
              <w:sz w:val="24"/>
              <w14:ligatures w14:val="standardContextual"/>
            </w:rPr>
          </w:pPr>
          <w:hyperlink w:anchor="_Toc205981721" w:history="1">
            <w:r w:rsidRPr="005663A6">
              <w:rPr>
                <w:rStyle w:val="Hyperlink"/>
              </w:rPr>
              <w:t>v.</w:t>
            </w:r>
            <w:r>
              <w:rPr>
                <w:rFonts w:cstheme="minorBidi"/>
                <w:kern w:val="2"/>
                <w:sz w:val="24"/>
                <w14:ligatures w14:val="standardContextual"/>
              </w:rPr>
              <w:tab/>
            </w:r>
            <w:r w:rsidRPr="005663A6">
              <w:rPr>
                <w:rStyle w:val="Hyperlink"/>
              </w:rPr>
              <w:t>Building Regulations</w:t>
            </w:r>
            <w:r>
              <w:rPr>
                <w:webHidden/>
              </w:rPr>
              <w:tab/>
            </w:r>
            <w:r>
              <w:rPr>
                <w:webHidden/>
              </w:rPr>
              <w:fldChar w:fldCharType="begin"/>
            </w:r>
            <w:r>
              <w:rPr>
                <w:webHidden/>
              </w:rPr>
              <w:instrText xml:space="preserve"> PAGEREF _Toc205981721 \h </w:instrText>
            </w:r>
            <w:r>
              <w:rPr>
                <w:webHidden/>
              </w:rPr>
            </w:r>
            <w:r>
              <w:rPr>
                <w:webHidden/>
              </w:rPr>
              <w:fldChar w:fldCharType="separate"/>
            </w:r>
            <w:r w:rsidR="00031C01">
              <w:rPr>
                <w:webHidden/>
              </w:rPr>
              <w:t>4</w:t>
            </w:r>
            <w:r>
              <w:rPr>
                <w:webHidden/>
              </w:rPr>
              <w:fldChar w:fldCharType="end"/>
            </w:r>
          </w:hyperlink>
        </w:p>
        <w:p w14:paraId="4A88FB19" w14:textId="604C9BFB" w:rsidR="00D303BC" w:rsidRDefault="008747CA" w:rsidP="00D43993">
          <w:pPr>
            <w:pStyle w:val="TOC2"/>
            <w:rPr>
              <w:rFonts w:cstheme="minorBidi"/>
              <w:kern w:val="2"/>
              <w:sz w:val="24"/>
              <w14:ligatures w14:val="standardContextual"/>
            </w:rPr>
          </w:pPr>
          <w:hyperlink w:anchor="_Toc205981722" w:history="1">
            <w:r w:rsidRPr="005663A6">
              <w:rPr>
                <w:rStyle w:val="Hyperlink"/>
              </w:rPr>
              <w:t>vi.</w:t>
            </w:r>
            <w:r>
              <w:rPr>
                <w:rFonts w:cstheme="minorBidi"/>
                <w:kern w:val="2"/>
                <w:sz w:val="24"/>
                <w14:ligatures w14:val="standardContextual"/>
              </w:rPr>
              <w:tab/>
            </w:r>
            <w:r w:rsidRPr="005663A6">
              <w:rPr>
                <w:rStyle w:val="Hyperlink"/>
              </w:rPr>
              <w:t>Emergencies</w:t>
            </w:r>
            <w:r>
              <w:rPr>
                <w:webHidden/>
              </w:rPr>
              <w:tab/>
            </w:r>
            <w:r w:rsidR="0080254B">
              <w:rPr>
                <w:webHidden/>
              </w:rPr>
              <w:t>4</w:t>
            </w:r>
          </w:hyperlink>
        </w:p>
        <w:p w14:paraId="0415DA22" w14:textId="63EB82F7" w:rsidR="00D303BC" w:rsidRDefault="00EE2B5A" w:rsidP="00D43993">
          <w:pPr>
            <w:pStyle w:val="TOC2"/>
            <w:rPr>
              <w:rFonts w:cstheme="minorBidi"/>
              <w:kern w:val="2"/>
              <w:sz w:val="24"/>
              <w14:ligatures w14:val="standardContextual"/>
            </w:rPr>
          </w:pPr>
          <w:hyperlink w:anchor="_Toc205981723" w:history="1">
            <w:r w:rsidRPr="005663A6">
              <w:rPr>
                <w:rStyle w:val="Hyperlink"/>
              </w:rPr>
              <w:t>vii.</w:t>
            </w:r>
            <w:r>
              <w:rPr>
                <w:rFonts w:cstheme="minorBidi"/>
                <w:kern w:val="2"/>
                <w:sz w:val="24"/>
                <w14:ligatures w14:val="standardContextual"/>
              </w:rPr>
              <w:tab/>
            </w:r>
            <w:r w:rsidRPr="005663A6">
              <w:rPr>
                <w:rStyle w:val="Hyperlink"/>
              </w:rPr>
              <w:t>Implementing the 2025-26 General Appropriations Act</w:t>
            </w:r>
            <w:r>
              <w:rPr>
                <w:webHidden/>
              </w:rPr>
              <w:tab/>
              <w:t>8</w:t>
            </w:r>
          </w:hyperlink>
        </w:p>
        <w:p w14:paraId="555DFAFB" w14:textId="5D0C3949" w:rsidR="00D303BC" w:rsidRDefault="00EE2B5A" w:rsidP="00D43993">
          <w:pPr>
            <w:pStyle w:val="TOC2"/>
            <w:rPr>
              <w:rFonts w:cstheme="minorBidi"/>
              <w:kern w:val="2"/>
              <w:sz w:val="24"/>
              <w14:ligatures w14:val="standardContextual"/>
            </w:rPr>
          </w:pPr>
          <w:hyperlink w:anchor="_Toc205981724" w:history="1">
            <w:r w:rsidRPr="005663A6">
              <w:rPr>
                <w:rStyle w:val="Hyperlink"/>
              </w:rPr>
              <w:t>viii.</w:t>
            </w:r>
            <w:r>
              <w:rPr>
                <w:rFonts w:cstheme="minorBidi"/>
                <w:kern w:val="2"/>
                <w:sz w:val="24"/>
                <w14:ligatures w14:val="standardContextual"/>
              </w:rPr>
              <w:tab/>
            </w:r>
            <w:r w:rsidRPr="005663A6">
              <w:rPr>
                <w:rStyle w:val="Hyperlink"/>
              </w:rPr>
              <w:t>Law Enforcement and Other Personnel</w:t>
            </w:r>
            <w:r>
              <w:rPr>
                <w:webHidden/>
              </w:rPr>
              <w:tab/>
              <w:t>9</w:t>
            </w:r>
          </w:hyperlink>
        </w:p>
        <w:p w14:paraId="1172449B" w14:textId="38FE9384" w:rsidR="00D303BC" w:rsidRDefault="00EE2B5A" w:rsidP="00D43993">
          <w:pPr>
            <w:pStyle w:val="TOC2"/>
            <w:rPr>
              <w:rFonts w:cstheme="minorBidi"/>
              <w:kern w:val="2"/>
              <w:sz w:val="24"/>
              <w14:ligatures w14:val="standardContextual"/>
            </w:rPr>
          </w:pPr>
          <w:hyperlink w:anchor="_Toc205981725" w:history="1">
            <w:r w:rsidRPr="005663A6">
              <w:rPr>
                <w:rStyle w:val="Hyperlink"/>
              </w:rPr>
              <w:t>ix.</w:t>
            </w:r>
            <w:r>
              <w:rPr>
                <w:rFonts w:cstheme="minorBidi"/>
                <w:kern w:val="2"/>
                <w:sz w:val="24"/>
                <w14:ligatures w14:val="standardContextual"/>
              </w:rPr>
              <w:tab/>
            </w:r>
            <w:r w:rsidRPr="005663A6">
              <w:rPr>
                <w:rStyle w:val="Hyperlink"/>
              </w:rPr>
              <w:t>Sewer Collection Systems</w:t>
            </w:r>
            <w:r>
              <w:rPr>
                <w:webHidden/>
              </w:rPr>
              <w:tab/>
              <w:t>9</w:t>
            </w:r>
          </w:hyperlink>
        </w:p>
        <w:p w14:paraId="67BEA47B" w14:textId="196DFB4F" w:rsidR="00D303BC" w:rsidRDefault="00EE2B5A" w:rsidP="00D43993">
          <w:pPr>
            <w:pStyle w:val="TOC2"/>
            <w:rPr>
              <w:rFonts w:cstheme="minorBidi"/>
              <w:kern w:val="2"/>
              <w:sz w:val="24"/>
              <w14:ligatures w14:val="standardContextual"/>
            </w:rPr>
          </w:pPr>
          <w:hyperlink w:anchor="_Toc205981726" w:history="1">
            <w:r w:rsidRPr="005663A6">
              <w:rPr>
                <w:rStyle w:val="Hyperlink"/>
              </w:rPr>
              <w:t>x.</w:t>
            </w:r>
            <w:r>
              <w:rPr>
                <w:rFonts w:cstheme="minorBidi"/>
                <w:kern w:val="2"/>
                <w:sz w:val="24"/>
                <w14:ligatures w14:val="standardContextual"/>
              </w:rPr>
              <w:tab/>
            </w:r>
            <w:r w:rsidRPr="005663A6">
              <w:rPr>
                <w:rStyle w:val="Hyperlink"/>
              </w:rPr>
              <w:t>Taxation</w:t>
            </w:r>
            <w:r>
              <w:rPr>
                <w:webHidden/>
              </w:rPr>
              <w:tab/>
              <w:t>9</w:t>
            </w:r>
          </w:hyperlink>
        </w:p>
        <w:p w14:paraId="17B8E90A" w14:textId="5B5B8597" w:rsidR="00D303BC" w:rsidRDefault="008747CA" w:rsidP="00D43993">
          <w:pPr>
            <w:pStyle w:val="TOC2"/>
            <w:rPr>
              <w:rFonts w:cstheme="minorBidi"/>
              <w:kern w:val="2"/>
              <w:sz w:val="24"/>
              <w14:ligatures w14:val="standardContextual"/>
            </w:rPr>
          </w:pPr>
          <w:hyperlink w:anchor="_Toc205981727" w:history="1">
            <w:r w:rsidRPr="005663A6">
              <w:rPr>
                <w:rStyle w:val="Hyperlink"/>
              </w:rPr>
              <w:t>xi.</w:t>
            </w:r>
            <w:r>
              <w:rPr>
                <w:rFonts w:cstheme="minorBidi"/>
                <w:kern w:val="2"/>
                <w:sz w:val="24"/>
                <w14:ligatures w14:val="standardContextual"/>
              </w:rPr>
              <w:tab/>
            </w:r>
            <w:r w:rsidRPr="005663A6">
              <w:rPr>
                <w:rStyle w:val="Hyperlink"/>
              </w:rPr>
              <w:t>Unlawful Demolition of Historical Buildings and Structures</w:t>
            </w:r>
            <w:r>
              <w:rPr>
                <w:webHidden/>
              </w:rPr>
              <w:tab/>
            </w:r>
            <w:r>
              <w:rPr>
                <w:webHidden/>
              </w:rPr>
              <w:fldChar w:fldCharType="begin"/>
            </w:r>
            <w:r>
              <w:rPr>
                <w:webHidden/>
              </w:rPr>
              <w:instrText xml:space="preserve"> PAGEREF _Toc205981727 \h </w:instrText>
            </w:r>
            <w:r>
              <w:rPr>
                <w:webHidden/>
              </w:rPr>
            </w:r>
            <w:r>
              <w:rPr>
                <w:webHidden/>
              </w:rPr>
              <w:fldChar w:fldCharType="separate"/>
            </w:r>
            <w:r w:rsidR="00031C01">
              <w:rPr>
                <w:webHidden/>
              </w:rPr>
              <w:t>11</w:t>
            </w:r>
            <w:r>
              <w:rPr>
                <w:webHidden/>
              </w:rPr>
              <w:fldChar w:fldCharType="end"/>
            </w:r>
          </w:hyperlink>
        </w:p>
        <w:p w14:paraId="2BD0DCC1" w14:textId="4266FB02" w:rsidR="00D303BC" w:rsidRDefault="008747CA" w:rsidP="00D43993">
          <w:pPr>
            <w:pStyle w:val="TOC2"/>
            <w:rPr>
              <w:rFonts w:cstheme="minorBidi"/>
              <w:kern w:val="2"/>
              <w:sz w:val="24"/>
              <w14:ligatures w14:val="standardContextual"/>
            </w:rPr>
          </w:pPr>
          <w:hyperlink w:anchor="_Toc205981728" w:history="1">
            <w:r w:rsidRPr="005663A6">
              <w:rPr>
                <w:rStyle w:val="Hyperlink"/>
              </w:rPr>
              <w:t>xii.</w:t>
            </w:r>
            <w:r>
              <w:rPr>
                <w:rFonts w:cstheme="minorBidi"/>
                <w:kern w:val="2"/>
                <w:sz w:val="24"/>
                <w14:ligatures w14:val="standardContextual"/>
              </w:rPr>
              <w:tab/>
            </w:r>
            <w:r w:rsidRPr="005663A6">
              <w:rPr>
                <w:rStyle w:val="Hyperlink"/>
              </w:rPr>
              <w:t>Utility Relocation</w:t>
            </w:r>
            <w:r>
              <w:rPr>
                <w:webHidden/>
              </w:rPr>
              <w:tab/>
            </w:r>
            <w:r>
              <w:rPr>
                <w:webHidden/>
              </w:rPr>
              <w:fldChar w:fldCharType="begin"/>
            </w:r>
            <w:r>
              <w:rPr>
                <w:webHidden/>
              </w:rPr>
              <w:instrText xml:space="preserve"> PAGEREF _Toc205981728 \h </w:instrText>
            </w:r>
            <w:r>
              <w:rPr>
                <w:webHidden/>
              </w:rPr>
            </w:r>
            <w:r>
              <w:rPr>
                <w:webHidden/>
              </w:rPr>
              <w:fldChar w:fldCharType="separate"/>
            </w:r>
            <w:r w:rsidR="00031C01">
              <w:rPr>
                <w:webHidden/>
              </w:rPr>
              <w:t>11</w:t>
            </w:r>
            <w:r>
              <w:rPr>
                <w:webHidden/>
              </w:rPr>
              <w:fldChar w:fldCharType="end"/>
            </w:r>
          </w:hyperlink>
        </w:p>
        <w:p w14:paraId="06B1B3D4" w14:textId="5207E9BA" w:rsidR="00D303BC" w:rsidRDefault="00EE2B5A" w:rsidP="00D43993">
          <w:pPr>
            <w:pStyle w:val="TOC2"/>
            <w:rPr>
              <w:rFonts w:cstheme="minorBidi"/>
              <w:kern w:val="2"/>
              <w:sz w:val="24"/>
              <w14:ligatures w14:val="standardContextual"/>
            </w:rPr>
          </w:pPr>
          <w:hyperlink w:anchor="_Toc205981729" w:history="1">
            <w:r w:rsidRPr="005663A6">
              <w:rPr>
                <w:rStyle w:val="Hyperlink"/>
              </w:rPr>
              <w:t>xiii.</w:t>
            </w:r>
            <w:r>
              <w:rPr>
                <w:rFonts w:cstheme="minorBidi"/>
                <w:kern w:val="2"/>
                <w:sz w:val="24"/>
                <w14:ligatures w14:val="standardContextual"/>
              </w:rPr>
              <w:tab/>
            </w:r>
            <w:r w:rsidRPr="005663A6">
              <w:rPr>
                <w:rStyle w:val="Hyperlink"/>
              </w:rPr>
              <w:t>Utility System Preemptions</w:t>
            </w:r>
            <w:r>
              <w:rPr>
                <w:webHidden/>
              </w:rPr>
              <w:tab/>
            </w:r>
            <w:r>
              <w:rPr>
                <w:webHidden/>
              </w:rPr>
              <w:fldChar w:fldCharType="begin"/>
            </w:r>
            <w:r>
              <w:rPr>
                <w:webHidden/>
              </w:rPr>
              <w:instrText xml:space="preserve"> PAGEREF _Toc205981729 \h </w:instrText>
            </w:r>
            <w:r>
              <w:rPr>
                <w:webHidden/>
              </w:rPr>
            </w:r>
            <w:r>
              <w:rPr>
                <w:webHidden/>
              </w:rPr>
              <w:fldChar w:fldCharType="separate"/>
            </w:r>
            <w:r w:rsidR="00031C01">
              <w:rPr>
                <w:webHidden/>
              </w:rPr>
              <w:t>11</w:t>
            </w:r>
            <w:r>
              <w:rPr>
                <w:webHidden/>
              </w:rPr>
              <w:fldChar w:fldCharType="end"/>
            </w:r>
          </w:hyperlink>
        </w:p>
        <w:p w14:paraId="6A4C8C14" w14:textId="1A7BF51D" w:rsidR="00D303BC" w:rsidRDefault="00EE2B5A" w:rsidP="00B7501A">
          <w:pPr>
            <w:pStyle w:val="TOC1"/>
            <w:spacing w:line="200" w:lineRule="exact"/>
          </w:pPr>
          <w:hyperlink w:anchor="_Toc205981730" w:history="1">
            <w:r w:rsidRPr="005663A6">
              <w:rPr>
                <w:rStyle w:val="Hyperlink"/>
                <w:smallCaps/>
              </w:rPr>
              <w:t>II.</w:t>
            </w:r>
            <w:r>
              <w:rPr>
                <w:rFonts w:cstheme="minorBidi"/>
                <w:b w:val="0"/>
                <w:bCs w:val="0"/>
                <w:kern w:val="2"/>
                <w:sz w:val="24"/>
                <w14:ligatures w14:val="standardContextual"/>
              </w:rPr>
              <w:tab/>
            </w:r>
            <w:r w:rsidRPr="005663A6">
              <w:rPr>
                <w:rStyle w:val="Hyperlink"/>
              </w:rPr>
              <w:t>FAILED BILLS</w:t>
            </w:r>
            <w:r>
              <w:rPr>
                <w:webHidden/>
              </w:rPr>
              <w:tab/>
            </w:r>
            <w:r>
              <w:rPr>
                <w:webHidden/>
              </w:rPr>
              <w:fldChar w:fldCharType="begin"/>
            </w:r>
            <w:r>
              <w:rPr>
                <w:webHidden/>
              </w:rPr>
              <w:instrText xml:space="preserve"> PAGEREF _Toc205981730 \h </w:instrText>
            </w:r>
            <w:r>
              <w:rPr>
                <w:webHidden/>
              </w:rPr>
            </w:r>
            <w:r>
              <w:rPr>
                <w:webHidden/>
              </w:rPr>
              <w:fldChar w:fldCharType="separate"/>
            </w:r>
            <w:r w:rsidR="00031C01">
              <w:rPr>
                <w:webHidden/>
              </w:rPr>
              <w:t>12</w:t>
            </w:r>
            <w:r>
              <w:rPr>
                <w:webHidden/>
              </w:rPr>
              <w:fldChar w:fldCharType="end"/>
            </w:r>
          </w:hyperlink>
        </w:p>
        <w:p w14:paraId="1559E360" w14:textId="1296F9A0" w:rsidR="00EE2B5A" w:rsidRPr="00EE2B5A" w:rsidRDefault="00EE2B5A" w:rsidP="00902A0B">
          <w:pPr>
            <w:pStyle w:val="TOC2"/>
            <w:rPr>
              <w:rFonts w:cstheme="minorBidi"/>
              <w:b/>
              <w:bCs/>
              <w:kern w:val="2"/>
              <w:sz w:val="24"/>
              <w14:ligatures w14:val="standardContextual"/>
            </w:rPr>
          </w:pPr>
          <w:hyperlink w:anchor="_Toc205981733" w:history="1">
            <w:r w:rsidRPr="005663A6">
              <w:rPr>
                <w:rStyle w:val="Hyperlink"/>
              </w:rPr>
              <w:t>i.</w:t>
            </w:r>
            <w:r>
              <w:rPr>
                <w:rFonts w:cstheme="minorBidi"/>
                <w:kern w:val="2"/>
                <w:sz w:val="24"/>
                <w14:ligatures w14:val="standardContextual"/>
              </w:rPr>
              <w:tab/>
            </w:r>
            <w:r w:rsidRPr="005663A6">
              <w:rPr>
                <w:rStyle w:val="Hyperlink"/>
              </w:rPr>
              <w:t>C</w:t>
            </w:r>
            <w:r>
              <w:rPr>
                <w:rStyle w:val="Hyperlink"/>
              </w:rPr>
              <w:t>lerks of the Circuit Court</w:t>
            </w:r>
            <w:r>
              <w:rPr>
                <w:webHidden/>
              </w:rPr>
              <w:tab/>
            </w:r>
            <w:r>
              <w:rPr>
                <w:webHidden/>
              </w:rPr>
              <w:fldChar w:fldCharType="begin"/>
            </w:r>
            <w:r>
              <w:rPr>
                <w:webHidden/>
              </w:rPr>
              <w:instrText xml:space="preserve"> PAGEREF _Toc205981733 \h </w:instrText>
            </w:r>
            <w:r>
              <w:rPr>
                <w:webHidden/>
              </w:rPr>
            </w:r>
            <w:r>
              <w:rPr>
                <w:webHidden/>
              </w:rPr>
              <w:fldChar w:fldCharType="separate"/>
            </w:r>
            <w:r w:rsidR="00031C01">
              <w:rPr>
                <w:webHidden/>
              </w:rPr>
              <w:t>12</w:t>
            </w:r>
            <w:r>
              <w:rPr>
                <w:webHidden/>
              </w:rPr>
              <w:fldChar w:fldCharType="end"/>
            </w:r>
          </w:hyperlink>
        </w:p>
        <w:p w14:paraId="08616C8F" w14:textId="41ADDB26" w:rsidR="00D303BC" w:rsidRDefault="00D303BC" w:rsidP="00D43993">
          <w:pPr>
            <w:pStyle w:val="TOC2"/>
            <w:rPr>
              <w:rFonts w:cstheme="minorBidi"/>
              <w:kern w:val="2"/>
              <w:sz w:val="24"/>
              <w14:ligatures w14:val="standardContextual"/>
            </w:rPr>
          </w:pPr>
          <w:hyperlink w:anchor="_Toc205981733" w:history="1">
            <w:r w:rsidRPr="005663A6">
              <w:rPr>
                <w:rStyle w:val="Hyperlink"/>
              </w:rPr>
              <w:t>i</w:t>
            </w:r>
            <w:r w:rsidR="00EE2B5A">
              <w:rPr>
                <w:rStyle w:val="Hyperlink"/>
              </w:rPr>
              <w:t>i</w:t>
            </w:r>
            <w:r w:rsidRPr="005663A6">
              <w:rPr>
                <w:rStyle w:val="Hyperlink"/>
              </w:rPr>
              <w:t>.</w:t>
            </w:r>
            <w:r>
              <w:rPr>
                <w:rFonts w:cstheme="minorBidi"/>
                <w:kern w:val="2"/>
                <w:sz w:val="24"/>
                <w14:ligatures w14:val="standardContextual"/>
              </w:rPr>
              <w:tab/>
            </w:r>
            <w:r w:rsidRPr="005663A6">
              <w:rPr>
                <w:rStyle w:val="Hyperlink"/>
              </w:rPr>
              <w:t>Contracting with Foreign Countries of Concern</w:t>
            </w:r>
            <w:r>
              <w:rPr>
                <w:webHidden/>
              </w:rPr>
              <w:tab/>
            </w:r>
            <w:r>
              <w:rPr>
                <w:webHidden/>
              </w:rPr>
              <w:fldChar w:fldCharType="begin"/>
            </w:r>
            <w:r>
              <w:rPr>
                <w:webHidden/>
              </w:rPr>
              <w:instrText xml:space="preserve"> PAGEREF _Toc205981733 \h </w:instrText>
            </w:r>
            <w:r>
              <w:rPr>
                <w:webHidden/>
              </w:rPr>
            </w:r>
            <w:r>
              <w:rPr>
                <w:webHidden/>
              </w:rPr>
              <w:fldChar w:fldCharType="separate"/>
            </w:r>
            <w:r w:rsidR="00031C01">
              <w:rPr>
                <w:webHidden/>
              </w:rPr>
              <w:t>12</w:t>
            </w:r>
            <w:r>
              <w:rPr>
                <w:webHidden/>
              </w:rPr>
              <w:fldChar w:fldCharType="end"/>
            </w:r>
          </w:hyperlink>
        </w:p>
        <w:p w14:paraId="1C8E6CF0" w14:textId="00F391CB" w:rsidR="00D303BC" w:rsidRDefault="00D303BC" w:rsidP="00D43993">
          <w:pPr>
            <w:pStyle w:val="TOC2"/>
          </w:pPr>
          <w:hyperlink w:anchor="_Toc205981735" w:history="1">
            <w:r w:rsidRPr="001D0699">
              <w:rPr>
                <w:rStyle w:val="Hyperlink"/>
              </w:rPr>
              <w:t>ii</w:t>
            </w:r>
            <w:r w:rsidR="00EE2B5A">
              <w:rPr>
                <w:rStyle w:val="Hyperlink"/>
              </w:rPr>
              <w:t>i</w:t>
            </w:r>
            <w:r w:rsidRPr="001D0699">
              <w:rPr>
                <w:rStyle w:val="Hyperlink"/>
              </w:rPr>
              <w:t>.</w:t>
            </w:r>
            <w:r w:rsidRPr="001D0699">
              <w:rPr>
                <w:rFonts w:cstheme="minorBidi"/>
                <w:kern w:val="2"/>
                <w:sz w:val="24"/>
                <w14:ligatures w14:val="standardContextual"/>
              </w:rPr>
              <w:tab/>
            </w:r>
            <w:r w:rsidRPr="001D0699">
              <w:rPr>
                <w:rStyle w:val="Hyperlink"/>
              </w:rPr>
              <w:t>Community Redevelopment Agencies</w:t>
            </w:r>
            <w:r w:rsidRPr="001D0699">
              <w:rPr>
                <w:webHidden/>
              </w:rPr>
              <w:tab/>
            </w:r>
            <w:r w:rsidRPr="001D0699">
              <w:rPr>
                <w:webHidden/>
              </w:rPr>
              <w:fldChar w:fldCharType="begin"/>
            </w:r>
            <w:r w:rsidRPr="001D0699">
              <w:rPr>
                <w:webHidden/>
              </w:rPr>
              <w:instrText xml:space="preserve"> PAGEREF _Toc205981735 \h </w:instrText>
            </w:r>
            <w:r w:rsidRPr="001D0699">
              <w:rPr>
                <w:webHidden/>
              </w:rPr>
            </w:r>
            <w:r w:rsidRPr="001D0699">
              <w:rPr>
                <w:webHidden/>
              </w:rPr>
              <w:fldChar w:fldCharType="separate"/>
            </w:r>
            <w:r w:rsidR="00031C01">
              <w:rPr>
                <w:webHidden/>
              </w:rPr>
              <w:t>12</w:t>
            </w:r>
            <w:r w:rsidRPr="001D0699">
              <w:rPr>
                <w:webHidden/>
              </w:rPr>
              <w:fldChar w:fldCharType="end"/>
            </w:r>
          </w:hyperlink>
        </w:p>
        <w:p w14:paraId="77B85A7A" w14:textId="1F2DC932" w:rsidR="00534151" w:rsidRPr="00902A0B" w:rsidRDefault="00B7501A" w:rsidP="00D43993">
          <w:pPr>
            <w:pStyle w:val="TOC2"/>
          </w:pPr>
          <w:hyperlink w:anchor="_Toc205981735" w:history="1">
            <w:r w:rsidRPr="001D0699">
              <w:rPr>
                <w:rStyle w:val="Hyperlink"/>
              </w:rPr>
              <w:t>i</w:t>
            </w:r>
            <w:r>
              <w:rPr>
                <w:rStyle w:val="Hyperlink"/>
              </w:rPr>
              <w:t>v</w:t>
            </w:r>
            <w:r w:rsidRPr="001D0699">
              <w:rPr>
                <w:rStyle w:val="Hyperlink"/>
              </w:rPr>
              <w:t>.</w:t>
            </w:r>
            <w:r w:rsidRPr="001D0699">
              <w:rPr>
                <w:rFonts w:cstheme="minorBidi"/>
                <w:kern w:val="2"/>
                <w:sz w:val="24"/>
                <w14:ligatures w14:val="standardContextual"/>
              </w:rPr>
              <w:tab/>
            </w:r>
            <w:r w:rsidRPr="001D0699">
              <w:rPr>
                <w:rStyle w:val="Hyperlink"/>
              </w:rPr>
              <w:t xml:space="preserve">Community Redevelopment </w:t>
            </w:r>
            <w:r>
              <w:rPr>
                <w:rStyle w:val="Hyperlink"/>
              </w:rPr>
              <w:t>Plan</w:t>
            </w:r>
            <w:r w:rsidRPr="001D0699">
              <w:rPr>
                <w:rStyle w:val="Hyperlink"/>
              </w:rPr>
              <w:t>s</w:t>
            </w:r>
            <w:r w:rsidRPr="001D0699">
              <w:rPr>
                <w:webHidden/>
              </w:rPr>
              <w:tab/>
            </w:r>
            <w:r w:rsidRPr="001D0699">
              <w:rPr>
                <w:webHidden/>
              </w:rPr>
              <w:fldChar w:fldCharType="begin"/>
            </w:r>
            <w:r w:rsidRPr="001D0699">
              <w:rPr>
                <w:webHidden/>
              </w:rPr>
              <w:instrText xml:space="preserve"> PAGEREF _Toc205981735 \h </w:instrText>
            </w:r>
            <w:r w:rsidRPr="001D0699">
              <w:rPr>
                <w:webHidden/>
              </w:rPr>
            </w:r>
            <w:r w:rsidRPr="001D0699">
              <w:rPr>
                <w:webHidden/>
              </w:rPr>
              <w:fldChar w:fldCharType="separate"/>
            </w:r>
            <w:r w:rsidR="00031C01">
              <w:rPr>
                <w:webHidden/>
              </w:rPr>
              <w:t>12</w:t>
            </w:r>
            <w:r w:rsidRPr="001D0699">
              <w:rPr>
                <w:webHidden/>
              </w:rPr>
              <w:fldChar w:fldCharType="end"/>
            </w:r>
          </w:hyperlink>
        </w:p>
        <w:p w14:paraId="5CD7FFD2" w14:textId="318D4281" w:rsidR="00D303BC" w:rsidRDefault="00D303BC" w:rsidP="00D43993">
          <w:pPr>
            <w:pStyle w:val="TOC2"/>
          </w:pPr>
          <w:hyperlink w:anchor="_Toc205981737" w:history="1">
            <w:r w:rsidRPr="001D0699">
              <w:rPr>
                <w:rStyle w:val="Hyperlink"/>
              </w:rPr>
              <w:t>v.</w:t>
            </w:r>
            <w:r w:rsidRPr="001D0699">
              <w:rPr>
                <w:rFonts w:cstheme="minorBidi"/>
                <w:kern w:val="2"/>
                <w:sz w:val="24"/>
                <w14:ligatures w14:val="standardContextual"/>
              </w:rPr>
              <w:tab/>
            </w:r>
            <w:r w:rsidRPr="001D0699">
              <w:rPr>
                <w:rStyle w:val="Hyperlink"/>
              </w:rPr>
              <w:t>Communication Services Tax</w:t>
            </w:r>
            <w:r w:rsidRPr="001D0699">
              <w:rPr>
                <w:webHidden/>
              </w:rPr>
              <w:tab/>
            </w:r>
            <w:r w:rsidRPr="001D0699">
              <w:rPr>
                <w:webHidden/>
              </w:rPr>
              <w:fldChar w:fldCharType="begin"/>
            </w:r>
            <w:r w:rsidRPr="001D0699">
              <w:rPr>
                <w:webHidden/>
              </w:rPr>
              <w:instrText xml:space="preserve"> PAGEREF _Toc205981737 \h </w:instrText>
            </w:r>
            <w:r w:rsidRPr="001D0699">
              <w:rPr>
                <w:webHidden/>
              </w:rPr>
            </w:r>
            <w:r w:rsidRPr="001D0699">
              <w:rPr>
                <w:webHidden/>
              </w:rPr>
              <w:fldChar w:fldCharType="separate"/>
            </w:r>
            <w:r w:rsidR="00031C01">
              <w:rPr>
                <w:webHidden/>
              </w:rPr>
              <w:t>12</w:t>
            </w:r>
            <w:r w:rsidRPr="001D0699">
              <w:rPr>
                <w:webHidden/>
              </w:rPr>
              <w:fldChar w:fldCharType="end"/>
            </w:r>
          </w:hyperlink>
        </w:p>
        <w:p w14:paraId="7D56021F" w14:textId="29DF8F21" w:rsidR="00534151" w:rsidRPr="00534151" w:rsidRDefault="00B7501A" w:rsidP="00D43993">
          <w:pPr>
            <w:pStyle w:val="TOC2"/>
            <w:rPr>
              <w:rFonts w:cstheme="minorBidi"/>
              <w:kern w:val="2"/>
              <w:sz w:val="24"/>
              <w14:ligatures w14:val="standardContextual"/>
            </w:rPr>
          </w:pPr>
          <w:hyperlink w:anchor="_Toc205981731" w:history="1">
            <w:r>
              <w:rPr>
                <w:rStyle w:val="Hyperlink"/>
              </w:rPr>
              <w:t>vi</w:t>
            </w:r>
            <w:r w:rsidRPr="005663A6">
              <w:rPr>
                <w:rStyle w:val="Hyperlink"/>
              </w:rPr>
              <w:t>.</w:t>
            </w:r>
            <w:r>
              <w:rPr>
                <w:rFonts w:cstheme="minorBidi"/>
                <w:kern w:val="2"/>
                <w:sz w:val="24"/>
                <w14:ligatures w14:val="standardContextual"/>
              </w:rPr>
              <w:tab/>
            </w:r>
            <w:r w:rsidRPr="005663A6">
              <w:rPr>
                <w:rStyle w:val="Hyperlink"/>
              </w:rPr>
              <w:t>Cybersecurity Incident Liability</w:t>
            </w:r>
            <w:r>
              <w:rPr>
                <w:webHidden/>
              </w:rPr>
              <w:tab/>
            </w:r>
            <w:r>
              <w:rPr>
                <w:webHidden/>
              </w:rPr>
              <w:fldChar w:fldCharType="begin"/>
            </w:r>
            <w:r>
              <w:rPr>
                <w:webHidden/>
              </w:rPr>
              <w:instrText xml:space="preserve"> PAGEREF _Toc205981731 \h </w:instrText>
            </w:r>
            <w:r>
              <w:rPr>
                <w:webHidden/>
              </w:rPr>
            </w:r>
            <w:r>
              <w:rPr>
                <w:webHidden/>
              </w:rPr>
              <w:fldChar w:fldCharType="separate"/>
            </w:r>
            <w:r w:rsidR="00031C01">
              <w:rPr>
                <w:webHidden/>
              </w:rPr>
              <w:t>12</w:t>
            </w:r>
            <w:r>
              <w:rPr>
                <w:webHidden/>
              </w:rPr>
              <w:fldChar w:fldCharType="end"/>
            </w:r>
          </w:hyperlink>
        </w:p>
        <w:p w14:paraId="30539512" w14:textId="2ED7AB1E" w:rsidR="00D303BC" w:rsidRPr="001D0699" w:rsidRDefault="00534151" w:rsidP="00D43993">
          <w:pPr>
            <w:pStyle w:val="TOC2"/>
            <w:rPr>
              <w:rFonts w:cstheme="minorBidi"/>
              <w:kern w:val="2"/>
              <w:sz w:val="24"/>
              <w14:ligatures w14:val="standardContextual"/>
            </w:rPr>
          </w:pPr>
          <w:hyperlink w:anchor="_Toc205981739" w:history="1">
            <w:r w:rsidRPr="001D0699">
              <w:rPr>
                <w:rStyle w:val="Hyperlink"/>
              </w:rPr>
              <w:t>v</w:t>
            </w:r>
            <w:r>
              <w:rPr>
                <w:rStyle w:val="Hyperlink"/>
              </w:rPr>
              <w:t>i</w:t>
            </w:r>
            <w:r w:rsidR="00EE2B5A">
              <w:rPr>
                <w:rStyle w:val="Hyperlink"/>
              </w:rPr>
              <w:t>i</w:t>
            </w:r>
            <w:r w:rsidRPr="001D0699">
              <w:rPr>
                <w:rStyle w:val="Hyperlink"/>
              </w:rPr>
              <w:t>.</w:t>
            </w:r>
            <w:r w:rsidRPr="001D0699">
              <w:rPr>
                <w:rFonts w:cstheme="minorBidi"/>
                <w:kern w:val="2"/>
                <w:sz w:val="24"/>
                <w14:ligatures w14:val="standardContextual"/>
              </w:rPr>
              <w:tab/>
            </w:r>
            <w:r w:rsidRPr="001D0699">
              <w:rPr>
                <w:rStyle w:val="Hyperlink"/>
              </w:rPr>
              <w:t>Emergencies</w:t>
            </w:r>
            <w:r w:rsidRPr="001D0699">
              <w:rPr>
                <w:webHidden/>
              </w:rPr>
              <w:tab/>
            </w:r>
            <w:r w:rsidRPr="001D0699">
              <w:rPr>
                <w:webHidden/>
              </w:rPr>
              <w:fldChar w:fldCharType="begin"/>
            </w:r>
            <w:r w:rsidRPr="001D0699">
              <w:rPr>
                <w:webHidden/>
              </w:rPr>
              <w:instrText xml:space="preserve"> PAGEREF _Toc205981739 \h </w:instrText>
            </w:r>
            <w:r w:rsidRPr="001D0699">
              <w:rPr>
                <w:webHidden/>
              </w:rPr>
            </w:r>
            <w:r w:rsidRPr="001D0699">
              <w:rPr>
                <w:webHidden/>
              </w:rPr>
              <w:fldChar w:fldCharType="separate"/>
            </w:r>
            <w:r w:rsidR="00031C01">
              <w:rPr>
                <w:webHidden/>
              </w:rPr>
              <w:t>12</w:t>
            </w:r>
            <w:r w:rsidRPr="001D0699">
              <w:rPr>
                <w:webHidden/>
              </w:rPr>
              <w:fldChar w:fldCharType="end"/>
            </w:r>
          </w:hyperlink>
        </w:p>
        <w:p w14:paraId="0D0B17DE" w14:textId="16882874" w:rsidR="00D303BC" w:rsidRPr="001D0699" w:rsidRDefault="00B7501A" w:rsidP="00D43993">
          <w:pPr>
            <w:pStyle w:val="TOC2"/>
            <w:rPr>
              <w:rFonts w:cstheme="minorBidi"/>
              <w:kern w:val="2"/>
              <w:sz w:val="24"/>
              <w14:ligatures w14:val="standardContextual"/>
            </w:rPr>
          </w:pPr>
          <w:hyperlink w:anchor="_Toc205981741" w:history="1">
            <w:r w:rsidRPr="001D0699">
              <w:rPr>
                <w:rStyle w:val="Hyperlink"/>
              </w:rPr>
              <w:t>vi</w:t>
            </w:r>
            <w:r>
              <w:rPr>
                <w:rStyle w:val="Hyperlink"/>
              </w:rPr>
              <w:t>ii</w:t>
            </w:r>
            <w:r w:rsidRPr="001D0699">
              <w:rPr>
                <w:rStyle w:val="Hyperlink"/>
              </w:rPr>
              <w:t>.</w:t>
            </w:r>
            <w:r w:rsidRPr="001D0699">
              <w:rPr>
                <w:rFonts w:cstheme="minorBidi"/>
                <w:kern w:val="2"/>
                <w:sz w:val="24"/>
                <w14:ligatures w14:val="standardContextual"/>
              </w:rPr>
              <w:tab/>
            </w:r>
            <w:r w:rsidRPr="001D0699">
              <w:rPr>
                <w:rStyle w:val="Hyperlink"/>
              </w:rPr>
              <w:t>Homestead Property Assessments</w:t>
            </w:r>
            <w:r w:rsidRPr="001D0699">
              <w:rPr>
                <w:webHidden/>
              </w:rPr>
              <w:tab/>
            </w:r>
            <w:r w:rsidRPr="001D0699">
              <w:rPr>
                <w:webHidden/>
              </w:rPr>
              <w:fldChar w:fldCharType="begin"/>
            </w:r>
            <w:r w:rsidRPr="001D0699">
              <w:rPr>
                <w:webHidden/>
              </w:rPr>
              <w:instrText xml:space="preserve"> PAGEREF _Toc205981741 \h </w:instrText>
            </w:r>
            <w:r w:rsidRPr="001D0699">
              <w:rPr>
                <w:webHidden/>
              </w:rPr>
            </w:r>
            <w:r w:rsidRPr="001D0699">
              <w:rPr>
                <w:webHidden/>
              </w:rPr>
              <w:fldChar w:fldCharType="separate"/>
            </w:r>
            <w:r w:rsidR="00031C01">
              <w:rPr>
                <w:webHidden/>
              </w:rPr>
              <w:t>13</w:t>
            </w:r>
            <w:r w:rsidRPr="001D0699">
              <w:rPr>
                <w:webHidden/>
              </w:rPr>
              <w:fldChar w:fldCharType="end"/>
            </w:r>
          </w:hyperlink>
        </w:p>
        <w:p w14:paraId="636A4E20" w14:textId="7A72FA12" w:rsidR="00D303BC" w:rsidRPr="001D0699" w:rsidRDefault="00EE2B5A" w:rsidP="00D43993">
          <w:pPr>
            <w:pStyle w:val="TOC2"/>
            <w:rPr>
              <w:rFonts w:cstheme="minorBidi"/>
              <w:kern w:val="2"/>
              <w:sz w:val="24"/>
              <w14:ligatures w14:val="standardContextual"/>
            </w:rPr>
          </w:pPr>
          <w:hyperlink w:anchor="_Toc205981743" w:history="1">
            <w:r>
              <w:rPr>
                <w:rStyle w:val="Hyperlink"/>
              </w:rPr>
              <w:t>ix</w:t>
            </w:r>
            <w:r w:rsidR="00D303BC" w:rsidRPr="001D0699">
              <w:rPr>
                <w:rStyle w:val="Hyperlink"/>
              </w:rPr>
              <w:t>.</w:t>
            </w:r>
            <w:r w:rsidR="00D303BC" w:rsidRPr="001D0699">
              <w:rPr>
                <w:rFonts w:cstheme="minorBidi"/>
                <w:kern w:val="2"/>
                <w:sz w:val="24"/>
                <w14:ligatures w14:val="standardContextual"/>
              </w:rPr>
              <w:tab/>
            </w:r>
            <w:r w:rsidR="00D303BC" w:rsidRPr="001D0699">
              <w:rPr>
                <w:rStyle w:val="Hyperlink"/>
              </w:rPr>
              <w:t>Homestead Exemptions</w:t>
            </w:r>
            <w:r w:rsidR="00D303BC" w:rsidRPr="001D0699">
              <w:rPr>
                <w:webHidden/>
              </w:rPr>
              <w:tab/>
            </w:r>
            <w:r w:rsidR="00D303BC" w:rsidRPr="001D0699">
              <w:rPr>
                <w:webHidden/>
              </w:rPr>
              <w:fldChar w:fldCharType="begin"/>
            </w:r>
            <w:r w:rsidR="00D303BC" w:rsidRPr="001D0699">
              <w:rPr>
                <w:webHidden/>
              </w:rPr>
              <w:instrText xml:space="preserve"> PAGEREF _Toc205981743 \h </w:instrText>
            </w:r>
            <w:r w:rsidR="00D303BC" w:rsidRPr="001D0699">
              <w:rPr>
                <w:webHidden/>
              </w:rPr>
            </w:r>
            <w:r w:rsidR="00D303BC" w:rsidRPr="001D0699">
              <w:rPr>
                <w:webHidden/>
              </w:rPr>
              <w:fldChar w:fldCharType="separate"/>
            </w:r>
            <w:r w:rsidR="00031C01">
              <w:rPr>
                <w:webHidden/>
              </w:rPr>
              <w:t>13</w:t>
            </w:r>
            <w:r w:rsidR="00D303BC" w:rsidRPr="001D0699">
              <w:rPr>
                <w:webHidden/>
              </w:rPr>
              <w:fldChar w:fldCharType="end"/>
            </w:r>
          </w:hyperlink>
        </w:p>
        <w:p w14:paraId="4BF8CB8E" w14:textId="5202F01E" w:rsidR="00D303BC" w:rsidRPr="001D0699" w:rsidRDefault="00534151" w:rsidP="00D43993">
          <w:pPr>
            <w:pStyle w:val="TOC2"/>
            <w:rPr>
              <w:rFonts w:cstheme="minorBidi"/>
              <w:kern w:val="2"/>
              <w:sz w:val="24"/>
              <w14:ligatures w14:val="standardContextual"/>
            </w:rPr>
          </w:pPr>
          <w:r>
            <w:t>x</w:t>
          </w:r>
          <w:hyperlink w:anchor="_Toc205981745" w:history="1">
            <w:r w:rsidR="00D303BC" w:rsidRPr="001D0699">
              <w:rPr>
                <w:rStyle w:val="Hyperlink"/>
              </w:rPr>
              <w:t>.</w:t>
            </w:r>
            <w:r w:rsidR="00D303BC" w:rsidRPr="001D0699">
              <w:rPr>
                <w:rFonts w:cstheme="minorBidi"/>
                <w:kern w:val="2"/>
                <w:sz w:val="24"/>
                <w14:ligatures w14:val="standardContextual"/>
              </w:rPr>
              <w:tab/>
            </w:r>
            <w:r w:rsidR="00D303BC" w:rsidRPr="001D0699">
              <w:rPr>
                <w:rStyle w:val="Hyperlink"/>
              </w:rPr>
              <w:t>Housing</w:t>
            </w:r>
            <w:r w:rsidR="00D303BC" w:rsidRPr="001D0699">
              <w:rPr>
                <w:webHidden/>
              </w:rPr>
              <w:tab/>
            </w:r>
            <w:r w:rsidR="00D303BC" w:rsidRPr="001D0699">
              <w:rPr>
                <w:webHidden/>
              </w:rPr>
              <w:fldChar w:fldCharType="begin"/>
            </w:r>
            <w:r w:rsidR="00D303BC" w:rsidRPr="001D0699">
              <w:rPr>
                <w:webHidden/>
              </w:rPr>
              <w:instrText xml:space="preserve"> PAGEREF _Toc205981745 \h </w:instrText>
            </w:r>
            <w:r w:rsidR="00D303BC" w:rsidRPr="001D0699">
              <w:rPr>
                <w:webHidden/>
              </w:rPr>
            </w:r>
            <w:r w:rsidR="00D303BC" w:rsidRPr="001D0699">
              <w:rPr>
                <w:webHidden/>
              </w:rPr>
              <w:fldChar w:fldCharType="separate"/>
            </w:r>
            <w:r w:rsidR="00031C01">
              <w:rPr>
                <w:webHidden/>
              </w:rPr>
              <w:t>13</w:t>
            </w:r>
            <w:r w:rsidR="00D303BC" w:rsidRPr="001D0699">
              <w:rPr>
                <w:webHidden/>
              </w:rPr>
              <w:fldChar w:fldCharType="end"/>
            </w:r>
          </w:hyperlink>
        </w:p>
        <w:p w14:paraId="52E43B88" w14:textId="2693C356" w:rsidR="00D303BC" w:rsidRPr="001D0699" w:rsidRDefault="00D303BC" w:rsidP="00D43993">
          <w:pPr>
            <w:pStyle w:val="TOC2"/>
            <w:rPr>
              <w:rFonts w:cstheme="minorBidi"/>
              <w:kern w:val="2"/>
              <w:sz w:val="24"/>
              <w14:ligatures w14:val="standardContextual"/>
            </w:rPr>
          </w:pPr>
          <w:hyperlink w:anchor="_Toc205981747" w:history="1">
            <w:r w:rsidRPr="001D0699">
              <w:rPr>
                <w:rStyle w:val="Hyperlink"/>
              </w:rPr>
              <w:t>x</w:t>
            </w:r>
            <w:r w:rsidR="00EE2B5A">
              <w:rPr>
                <w:rStyle w:val="Hyperlink"/>
              </w:rPr>
              <w:t>i</w:t>
            </w:r>
            <w:r w:rsidRPr="001D0699">
              <w:rPr>
                <w:rStyle w:val="Hyperlink"/>
              </w:rPr>
              <w:t>.</w:t>
            </w:r>
            <w:r w:rsidRPr="001D0699">
              <w:rPr>
                <w:rFonts w:cstheme="minorBidi"/>
                <w:kern w:val="2"/>
                <w:sz w:val="24"/>
                <w14:ligatures w14:val="standardContextual"/>
              </w:rPr>
              <w:tab/>
            </w:r>
            <w:r w:rsidRPr="001D0699">
              <w:rPr>
                <w:rStyle w:val="Hyperlink"/>
              </w:rPr>
              <w:t>Impact Fees</w:t>
            </w:r>
            <w:r w:rsidRPr="001D0699">
              <w:rPr>
                <w:webHidden/>
              </w:rPr>
              <w:tab/>
            </w:r>
            <w:r w:rsidRPr="001D0699">
              <w:rPr>
                <w:webHidden/>
              </w:rPr>
              <w:fldChar w:fldCharType="begin"/>
            </w:r>
            <w:r w:rsidRPr="001D0699">
              <w:rPr>
                <w:webHidden/>
              </w:rPr>
              <w:instrText xml:space="preserve"> PAGEREF _Toc205981747 \h </w:instrText>
            </w:r>
            <w:r w:rsidRPr="001D0699">
              <w:rPr>
                <w:webHidden/>
              </w:rPr>
            </w:r>
            <w:r w:rsidRPr="001D0699">
              <w:rPr>
                <w:webHidden/>
              </w:rPr>
              <w:fldChar w:fldCharType="separate"/>
            </w:r>
            <w:r w:rsidR="00031C01">
              <w:rPr>
                <w:webHidden/>
              </w:rPr>
              <w:t>13</w:t>
            </w:r>
            <w:r w:rsidRPr="001D0699">
              <w:rPr>
                <w:webHidden/>
              </w:rPr>
              <w:fldChar w:fldCharType="end"/>
            </w:r>
          </w:hyperlink>
        </w:p>
        <w:p w14:paraId="7F9D79B1" w14:textId="2313DF92" w:rsidR="00D303BC" w:rsidRPr="001D0699" w:rsidRDefault="00B7501A" w:rsidP="00D43993">
          <w:pPr>
            <w:pStyle w:val="TOC2"/>
            <w:rPr>
              <w:rFonts w:cstheme="minorBidi"/>
              <w:kern w:val="2"/>
              <w:sz w:val="24"/>
              <w14:ligatures w14:val="standardContextual"/>
            </w:rPr>
          </w:pPr>
          <w:hyperlink w:anchor="_Toc205981749" w:history="1">
            <w:r w:rsidRPr="001D0699">
              <w:rPr>
                <w:rStyle w:val="Hyperlink"/>
              </w:rPr>
              <w:t>x</w:t>
            </w:r>
            <w:r>
              <w:rPr>
                <w:rStyle w:val="Hyperlink"/>
              </w:rPr>
              <w:t>ii</w:t>
            </w:r>
            <w:r w:rsidRPr="001D0699">
              <w:rPr>
                <w:rStyle w:val="Hyperlink"/>
              </w:rPr>
              <w:t>.</w:t>
            </w:r>
            <w:r w:rsidRPr="001D0699">
              <w:rPr>
                <w:rFonts w:cstheme="minorBidi"/>
                <w:kern w:val="2"/>
                <w:sz w:val="24"/>
                <w14:ligatures w14:val="standardContextual"/>
              </w:rPr>
              <w:tab/>
            </w:r>
            <w:r w:rsidRPr="001D0699">
              <w:rPr>
                <w:rStyle w:val="Hyperlink"/>
              </w:rPr>
              <w:t>Local Business Taxes</w:t>
            </w:r>
            <w:r w:rsidRPr="001D0699">
              <w:rPr>
                <w:webHidden/>
              </w:rPr>
              <w:tab/>
            </w:r>
            <w:r w:rsidRPr="001D0699">
              <w:rPr>
                <w:webHidden/>
              </w:rPr>
              <w:fldChar w:fldCharType="begin"/>
            </w:r>
            <w:r w:rsidRPr="001D0699">
              <w:rPr>
                <w:webHidden/>
              </w:rPr>
              <w:instrText xml:space="preserve"> PAGEREF _Toc205981749 \h </w:instrText>
            </w:r>
            <w:r w:rsidRPr="001D0699">
              <w:rPr>
                <w:webHidden/>
              </w:rPr>
            </w:r>
            <w:r w:rsidRPr="001D0699">
              <w:rPr>
                <w:webHidden/>
              </w:rPr>
              <w:fldChar w:fldCharType="separate"/>
            </w:r>
            <w:r w:rsidR="00031C01">
              <w:rPr>
                <w:webHidden/>
              </w:rPr>
              <w:t>13</w:t>
            </w:r>
            <w:r w:rsidRPr="001D0699">
              <w:rPr>
                <w:webHidden/>
              </w:rPr>
              <w:fldChar w:fldCharType="end"/>
            </w:r>
          </w:hyperlink>
        </w:p>
        <w:p w14:paraId="122517F1" w14:textId="32F63152" w:rsidR="00D303BC" w:rsidRPr="001D0699" w:rsidRDefault="00B7501A" w:rsidP="00D43993">
          <w:pPr>
            <w:pStyle w:val="TOC2"/>
            <w:rPr>
              <w:rFonts w:cstheme="minorBidi"/>
              <w:kern w:val="2"/>
              <w:sz w:val="24"/>
              <w14:ligatures w14:val="standardContextual"/>
            </w:rPr>
          </w:pPr>
          <w:hyperlink w:anchor="_Toc205981751" w:history="1">
            <w:r w:rsidRPr="001D0699">
              <w:rPr>
                <w:rStyle w:val="Hyperlink"/>
              </w:rPr>
              <w:t>xi</w:t>
            </w:r>
            <w:r>
              <w:rPr>
                <w:rStyle w:val="Hyperlink"/>
              </w:rPr>
              <w:t>ii</w:t>
            </w:r>
            <w:r w:rsidRPr="001D0699">
              <w:rPr>
                <w:rStyle w:val="Hyperlink"/>
              </w:rPr>
              <w:t>.</w:t>
            </w:r>
            <w:r w:rsidRPr="001D0699">
              <w:rPr>
                <w:rFonts w:cstheme="minorBidi"/>
                <w:kern w:val="2"/>
                <w:sz w:val="24"/>
                <w14:ligatures w14:val="standardContextual"/>
              </w:rPr>
              <w:tab/>
            </w:r>
            <w:r w:rsidRPr="001D0699">
              <w:rPr>
                <w:rStyle w:val="Hyperlink"/>
              </w:rPr>
              <w:t>Local Option Taxes</w:t>
            </w:r>
            <w:r w:rsidRPr="001D0699">
              <w:rPr>
                <w:webHidden/>
              </w:rPr>
              <w:tab/>
            </w:r>
            <w:r w:rsidRPr="001D0699">
              <w:rPr>
                <w:webHidden/>
              </w:rPr>
              <w:fldChar w:fldCharType="begin"/>
            </w:r>
            <w:r w:rsidRPr="001D0699">
              <w:rPr>
                <w:webHidden/>
              </w:rPr>
              <w:instrText xml:space="preserve"> PAGEREF _Toc205981751 \h </w:instrText>
            </w:r>
            <w:r w:rsidRPr="001D0699">
              <w:rPr>
                <w:webHidden/>
              </w:rPr>
            </w:r>
            <w:r w:rsidRPr="001D0699">
              <w:rPr>
                <w:webHidden/>
              </w:rPr>
              <w:fldChar w:fldCharType="separate"/>
            </w:r>
            <w:r w:rsidR="00031C01">
              <w:rPr>
                <w:webHidden/>
              </w:rPr>
              <w:t>13</w:t>
            </w:r>
            <w:r w:rsidRPr="001D0699">
              <w:rPr>
                <w:webHidden/>
              </w:rPr>
              <w:fldChar w:fldCharType="end"/>
            </w:r>
          </w:hyperlink>
        </w:p>
        <w:p w14:paraId="59CCE4AC" w14:textId="6EC99BCF" w:rsidR="008747CA" w:rsidRDefault="008747CA" w:rsidP="00D43993">
          <w:pPr>
            <w:pStyle w:val="TOC2"/>
            <w:rPr>
              <w:rStyle w:val="Hyperlink"/>
            </w:rPr>
          </w:pPr>
          <w:r>
            <w:fldChar w:fldCharType="begin"/>
          </w:r>
          <w:r>
            <w:instrText>HYPERLINK \l "_Toc205981753"</w:instrText>
          </w:r>
          <w:r>
            <w:fldChar w:fldCharType="separate"/>
          </w:r>
          <w:r w:rsidRPr="001D0699">
            <w:rPr>
              <w:rStyle w:val="Hyperlink"/>
            </w:rPr>
            <w:t>xi</w:t>
          </w:r>
          <w:r>
            <w:rPr>
              <w:rStyle w:val="Hyperlink"/>
            </w:rPr>
            <w:t>v</w:t>
          </w:r>
          <w:r w:rsidRPr="001D0699">
            <w:rPr>
              <w:rStyle w:val="Hyperlink"/>
            </w:rPr>
            <w:t>.</w:t>
          </w:r>
          <w:r w:rsidRPr="001D0699">
            <w:rPr>
              <w:rFonts w:cstheme="minorBidi"/>
              <w:kern w:val="2"/>
              <w:sz w:val="24"/>
              <w14:ligatures w14:val="standardContextual"/>
            </w:rPr>
            <w:tab/>
          </w:r>
          <w:r w:rsidRPr="001D0699">
            <w:rPr>
              <w:rStyle w:val="Hyperlink"/>
            </w:rPr>
            <w:t xml:space="preserve">Property Tax Benefits for Certain Residential Properties Subject to a </w:t>
          </w:r>
          <w:r>
            <w:rPr>
              <w:rStyle w:val="Hyperlink"/>
            </w:rPr>
            <w:t xml:space="preserve"> </w:t>
          </w:r>
        </w:p>
        <w:p w14:paraId="0582335D" w14:textId="0100D88A" w:rsidR="00D303BC" w:rsidRPr="001D0699" w:rsidRDefault="008747CA" w:rsidP="00D43993">
          <w:pPr>
            <w:pStyle w:val="TOC2"/>
            <w:rPr>
              <w:rFonts w:cstheme="minorBidi"/>
              <w:kern w:val="2"/>
              <w:sz w:val="24"/>
              <w14:ligatures w14:val="standardContextual"/>
            </w:rPr>
          </w:pPr>
          <w:r>
            <w:rPr>
              <w:rStyle w:val="Hyperlink"/>
            </w:rPr>
            <w:t xml:space="preserve">                  </w:t>
          </w:r>
          <w:r w:rsidRPr="001D0699">
            <w:rPr>
              <w:rStyle w:val="Hyperlink"/>
            </w:rPr>
            <w:t>Long-term Lease</w:t>
          </w:r>
          <w:r w:rsidRPr="001D0699">
            <w:rPr>
              <w:webHidden/>
            </w:rPr>
            <w:tab/>
          </w:r>
          <w:r w:rsidRPr="001D0699">
            <w:rPr>
              <w:webHidden/>
            </w:rPr>
            <w:fldChar w:fldCharType="begin"/>
          </w:r>
          <w:r w:rsidRPr="001D0699">
            <w:rPr>
              <w:webHidden/>
            </w:rPr>
            <w:instrText xml:space="preserve"> PAGEREF _Toc205981753 \h </w:instrText>
          </w:r>
          <w:r w:rsidRPr="001D0699">
            <w:rPr>
              <w:webHidden/>
            </w:rPr>
          </w:r>
          <w:r w:rsidRPr="001D0699">
            <w:rPr>
              <w:webHidden/>
            </w:rPr>
            <w:fldChar w:fldCharType="separate"/>
          </w:r>
          <w:r w:rsidR="00031C01">
            <w:rPr>
              <w:webHidden/>
            </w:rPr>
            <w:t>14</w:t>
          </w:r>
          <w:r w:rsidRPr="001D0699">
            <w:rPr>
              <w:webHidden/>
            </w:rPr>
            <w:fldChar w:fldCharType="end"/>
          </w:r>
          <w:r>
            <w:fldChar w:fldCharType="end"/>
          </w:r>
        </w:p>
        <w:p w14:paraId="69892A7B" w14:textId="795683AA" w:rsidR="00D303BC" w:rsidRDefault="00B7501A" w:rsidP="00D43993">
          <w:pPr>
            <w:pStyle w:val="TOC2"/>
          </w:pPr>
          <w:hyperlink w:anchor="_Toc205981755" w:history="1">
            <w:r w:rsidRPr="001D0699">
              <w:rPr>
                <w:rStyle w:val="Hyperlink"/>
              </w:rPr>
              <w:t>x</w:t>
            </w:r>
            <w:r>
              <w:rPr>
                <w:rStyle w:val="Hyperlink"/>
              </w:rPr>
              <w:t>v</w:t>
            </w:r>
            <w:r w:rsidRPr="001D0699">
              <w:rPr>
                <w:rStyle w:val="Hyperlink"/>
              </w:rPr>
              <w:t>.</w:t>
            </w:r>
            <w:r w:rsidRPr="001D0699">
              <w:rPr>
                <w:rFonts w:cstheme="minorBidi"/>
                <w:kern w:val="2"/>
                <w:sz w:val="24"/>
                <w14:ligatures w14:val="standardContextual"/>
              </w:rPr>
              <w:tab/>
            </w:r>
            <w:r w:rsidRPr="001D0699">
              <w:rPr>
                <w:rStyle w:val="Hyperlink"/>
              </w:rPr>
              <w:t>Property Tax Exemptions</w:t>
            </w:r>
            <w:r w:rsidRPr="001D0699">
              <w:rPr>
                <w:webHidden/>
              </w:rPr>
              <w:tab/>
            </w:r>
            <w:r w:rsidRPr="001D0699">
              <w:rPr>
                <w:webHidden/>
              </w:rPr>
              <w:fldChar w:fldCharType="begin"/>
            </w:r>
            <w:r w:rsidRPr="001D0699">
              <w:rPr>
                <w:webHidden/>
              </w:rPr>
              <w:instrText xml:space="preserve"> PAGEREF _Toc205981755 \h </w:instrText>
            </w:r>
            <w:r w:rsidRPr="001D0699">
              <w:rPr>
                <w:webHidden/>
              </w:rPr>
            </w:r>
            <w:r w:rsidRPr="001D0699">
              <w:rPr>
                <w:webHidden/>
              </w:rPr>
              <w:fldChar w:fldCharType="separate"/>
            </w:r>
            <w:r w:rsidR="00031C01">
              <w:rPr>
                <w:webHidden/>
              </w:rPr>
              <w:t>14</w:t>
            </w:r>
            <w:r w:rsidRPr="001D0699">
              <w:rPr>
                <w:webHidden/>
              </w:rPr>
              <w:fldChar w:fldCharType="end"/>
            </w:r>
          </w:hyperlink>
        </w:p>
        <w:p w14:paraId="25E852FC" w14:textId="0DB2FB6E" w:rsidR="0007404A" w:rsidRPr="001D0699" w:rsidRDefault="00B7501A" w:rsidP="00D43993">
          <w:pPr>
            <w:pStyle w:val="TOC2"/>
            <w:rPr>
              <w:rFonts w:cstheme="minorBidi"/>
              <w:kern w:val="2"/>
              <w:sz w:val="24"/>
              <w14:ligatures w14:val="standardContextual"/>
            </w:rPr>
          </w:pPr>
          <w:hyperlink w:anchor="_Toc205981757" w:history="1">
            <w:r>
              <w:rPr>
                <w:rStyle w:val="Hyperlink"/>
              </w:rPr>
              <w:t>x</w:t>
            </w:r>
            <w:r w:rsidRPr="001D0699">
              <w:rPr>
                <w:rStyle w:val="Hyperlink"/>
              </w:rPr>
              <w:t>v</w:t>
            </w:r>
            <w:r>
              <w:rPr>
                <w:rStyle w:val="Hyperlink"/>
              </w:rPr>
              <w:t>i</w:t>
            </w:r>
            <w:r w:rsidRPr="001D0699">
              <w:rPr>
                <w:rStyle w:val="Hyperlink"/>
              </w:rPr>
              <w:t>.</w:t>
            </w:r>
            <w:r w:rsidRPr="001D0699">
              <w:rPr>
                <w:rFonts w:cstheme="minorBidi"/>
                <w:kern w:val="2"/>
                <w:sz w:val="24"/>
                <w14:ligatures w14:val="standardContextual"/>
              </w:rPr>
              <w:tab/>
            </w:r>
            <w:r w:rsidRPr="001D0699">
              <w:rPr>
                <w:rStyle w:val="Hyperlink"/>
              </w:rPr>
              <w:t>Re</w:t>
            </w:r>
            <w:r>
              <w:rPr>
                <w:rStyle w:val="Hyperlink"/>
              </w:rPr>
              <w:t>sidential Utility Disconnections</w:t>
            </w:r>
            <w:r w:rsidRPr="001D0699">
              <w:rPr>
                <w:webHidden/>
              </w:rPr>
              <w:tab/>
            </w:r>
            <w:r w:rsidRPr="001D0699">
              <w:rPr>
                <w:webHidden/>
              </w:rPr>
              <w:fldChar w:fldCharType="begin"/>
            </w:r>
            <w:r w:rsidRPr="001D0699">
              <w:rPr>
                <w:webHidden/>
              </w:rPr>
              <w:instrText xml:space="preserve"> PAGEREF _Toc205981757 \h </w:instrText>
            </w:r>
            <w:r w:rsidRPr="001D0699">
              <w:rPr>
                <w:webHidden/>
              </w:rPr>
            </w:r>
            <w:r w:rsidRPr="001D0699">
              <w:rPr>
                <w:webHidden/>
              </w:rPr>
              <w:fldChar w:fldCharType="separate"/>
            </w:r>
            <w:r w:rsidR="00031C01">
              <w:rPr>
                <w:webHidden/>
              </w:rPr>
              <w:t>14</w:t>
            </w:r>
            <w:r w:rsidRPr="001D0699">
              <w:rPr>
                <w:webHidden/>
              </w:rPr>
              <w:fldChar w:fldCharType="end"/>
            </w:r>
          </w:hyperlink>
        </w:p>
        <w:p w14:paraId="7A811EA7" w14:textId="757909FC" w:rsidR="0007404A" w:rsidRPr="0007404A" w:rsidRDefault="00B7501A" w:rsidP="00D43993">
          <w:pPr>
            <w:pStyle w:val="TOC2"/>
            <w:rPr>
              <w:rFonts w:cstheme="minorBidi"/>
              <w:kern w:val="2"/>
              <w:sz w:val="24"/>
              <w14:ligatures w14:val="standardContextual"/>
            </w:rPr>
          </w:pPr>
          <w:hyperlink w:anchor="_Toc205981757" w:history="1">
            <w:r>
              <w:rPr>
                <w:rStyle w:val="Hyperlink"/>
              </w:rPr>
              <w:t>x</w:t>
            </w:r>
            <w:r w:rsidRPr="001D0699">
              <w:rPr>
                <w:rStyle w:val="Hyperlink"/>
              </w:rPr>
              <w:t>v</w:t>
            </w:r>
            <w:r>
              <w:rPr>
                <w:rStyle w:val="Hyperlink"/>
              </w:rPr>
              <w:t>ii</w:t>
            </w:r>
            <w:r w:rsidRPr="001D0699">
              <w:rPr>
                <w:rStyle w:val="Hyperlink"/>
              </w:rPr>
              <w:t>.</w:t>
            </w:r>
            <w:r w:rsidRPr="001D0699">
              <w:rPr>
                <w:rFonts w:cstheme="minorBidi"/>
                <w:kern w:val="2"/>
                <w:sz w:val="24"/>
                <w14:ligatures w14:val="standardContextual"/>
              </w:rPr>
              <w:tab/>
            </w:r>
            <w:r w:rsidRPr="001D0699">
              <w:rPr>
                <w:rStyle w:val="Hyperlink"/>
              </w:rPr>
              <w:t>Re</w:t>
            </w:r>
            <w:r>
              <w:rPr>
                <w:rStyle w:val="Hyperlink"/>
              </w:rPr>
              <w:t>silience Districts</w:t>
            </w:r>
            <w:r w:rsidRPr="001D0699">
              <w:rPr>
                <w:webHidden/>
              </w:rPr>
              <w:tab/>
            </w:r>
            <w:r w:rsidRPr="001D0699">
              <w:rPr>
                <w:webHidden/>
              </w:rPr>
              <w:fldChar w:fldCharType="begin"/>
            </w:r>
            <w:r w:rsidRPr="001D0699">
              <w:rPr>
                <w:webHidden/>
              </w:rPr>
              <w:instrText xml:space="preserve"> PAGEREF _Toc205981757 \h </w:instrText>
            </w:r>
            <w:r w:rsidRPr="001D0699">
              <w:rPr>
                <w:webHidden/>
              </w:rPr>
            </w:r>
            <w:r w:rsidRPr="001D0699">
              <w:rPr>
                <w:webHidden/>
              </w:rPr>
              <w:fldChar w:fldCharType="separate"/>
            </w:r>
            <w:r w:rsidR="00031C01">
              <w:rPr>
                <w:webHidden/>
              </w:rPr>
              <w:t>14</w:t>
            </w:r>
            <w:r w:rsidRPr="001D0699">
              <w:rPr>
                <w:webHidden/>
              </w:rPr>
              <w:fldChar w:fldCharType="end"/>
            </w:r>
          </w:hyperlink>
        </w:p>
        <w:p w14:paraId="154E9566" w14:textId="50CCC704" w:rsidR="00D303BC" w:rsidRPr="001D0699" w:rsidRDefault="00B7501A" w:rsidP="00D43993">
          <w:pPr>
            <w:pStyle w:val="TOC2"/>
            <w:rPr>
              <w:rFonts w:cstheme="minorBidi"/>
              <w:kern w:val="2"/>
              <w:sz w:val="24"/>
              <w14:ligatures w14:val="standardContextual"/>
            </w:rPr>
          </w:pPr>
          <w:hyperlink w:anchor="_Toc205981757" w:history="1">
            <w:r w:rsidRPr="001D0699">
              <w:rPr>
                <w:rStyle w:val="Hyperlink"/>
              </w:rPr>
              <w:t>xi</w:t>
            </w:r>
            <w:r>
              <w:rPr>
                <w:rStyle w:val="Hyperlink"/>
              </w:rPr>
              <w:t>ii</w:t>
            </w:r>
            <w:r w:rsidRPr="001D0699">
              <w:rPr>
                <w:rStyle w:val="Hyperlink"/>
              </w:rPr>
              <w:t>.</w:t>
            </w:r>
            <w:r w:rsidRPr="001D0699">
              <w:rPr>
                <w:rFonts w:cstheme="minorBidi"/>
                <w:kern w:val="2"/>
                <w:sz w:val="24"/>
                <w14:ligatures w14:val="standardContextual"/>
              </w:rPr>
              <w:tab/>
            </w:r>
            <w:r w:rsidRPr="001D0699">
              <w:rPr>
                <w:rStyle w:val="Hyperlink"/>
              </w:rPr>
              <w:t>Revenues from Ad Valorem Taxes</w:t>
            </w:r>
            <w:r w:rsidRPr="001D0699">
              <w:rPr>
                <w:webHidden/>
              </w:rPr>
              <w:tab/>
            </w:r>
            <w:r w:rsidRPr="001D0699">
              <w:rPr>
                <w:webHidden/>
              </w:rPr>
              <w:fldChar w:fldCharType="begin"/>
            </w:r>
            <w:r w:rsidRPr="001D0699">
              <w:rPr>
                <w:webHidden/>
              </w:rPr>
              <w:instrText xml:space="preserve"> PAGEREF _Toc205981757 \h </w:instrText>
            </w:r>
            <w:r w:rsidRPr="001D0699">
              <w:rPr>
                <w:webHidden/>
              </w:rPr>
            </w:r>
            <w:r w:rsidRPr="001D0699">
              <w:rPr>
                <w:webHidden/>
              </w:rPr>
              <w:fldChar w:fldCharType="separate"/>
            </w:r>
            <w:r w:rsidR="00031C01">
              <w:rPr>
                <w:webHidden/>
              </w:rPr>
              <w:t>14</w:t>
            </w:r>
            <w:r w:rsidRPr="001D0699">
              <w:rPr>
                <w:webHidden/>
              </w:rPr>
              <w:fldChar w:fldCharType="end"/>
            </w:r>
          </w:hyperlink>
        </w:p>
        <w:p w14:paraId="0939101C" w14:textId="0769AD4B" w:rsidR="00D303BC" w:rsidRPr="001D0699" w:rsidRDefault="00D303BC" w:rsidP="00D43993">
          <w:pPr>
            <w:pStyle w:val="TOC2"/>
            <w:rPr>
              <w:rFonts w:cstheme="minorBidi"/>
              <w:kern w:val="2"/>
              <w:sz w:val="24"/>
              <w14:ligatures w14:val="standardContextual"/>
            </w:rPr>
          </w:pPr>
          <w:hyperlink w:anchor="_Toc205981759" w:history="1">
            <w:r w:rsidRPr="001D0699">
              <w:rPr>
                <w:rStyle w:val="Hyperlink"/>
              </w:rPr>
              <w:t>x</w:t>
            </w:r>
            <w:r w:rsidR="00EE2B5A">
              <w:rPr>
                <w:rStyle w:val="Hyperlink"/>
              </w:rPr>
              <w:t>ix</w:t>
            </w:r>
            <w:r w:rsidRPr="001D0699">
              <w:rPr>
                <w:rStyle w:val="Hyperlink"/>
              </w:rPr>
              <w:t>.</w:t>
            </w:r>
            <w:r w:rsidRPr="001D0699">
              <w:rPr>
                <w:rFonts w:cstheme="minorBidi"/>
                <w:kern w:val="2"/>
                <w:sz w:val="24"/>
                <w14:ligatures w14:val="standardContextual"/>
              </w:rPr>
              <w:tab/>
            </w:r>
            <w:r w:rsidRPr="001D0699">
              <w:rPr>
                <w:rStyle w:val="Hyperlink"/>
              </w:rPr>
              <w:t>Salaries and Benefits</w:t>
            </w:r>
            <w:r w:rsidRPr="001D0699">
              <w:rPr>
                <w:webHidden/>
              </w:rPr>
              <w:tab/>
            </w:r>
            <w:r w:rsidRPr="001D0699">
              <w:rPr>
                <w:webHidden/>
              </w:rPr>
              <w:fldChar w:fldCharType="begin"/>
            </w:r>
            <w:r w:rsidRPr="001D0699">
              <w:rPr>
                <w:webHidden/>
              </w:rPr>
              <w:instrText xml:space="preserve"> PAGEREF _Toc205981759 \h </w:instrText>
            </w:r>
            <w:r w:rsidRPr="001D0699">
              <w:rPr>
                <w:webHidden/>
              </w:rPr>
            </w:r>
            <w:r w:rsidRPr="001D0699">
              <w:rPr>
                <w:webHidden/>
              </w:rPr>
              <w:fldChar w:fldCharType="separate"/>
            </w:r>
            <w:r w:rsidR="00031C01">
              <w:rPr>
                <w:webHidden/>
              </w:rPr>
              <w:t>14</w:t>
            </w:r>
            <w:r w:rsidRPr="001D0699">
              <w:rPr>
                <w:webHidden/>
              </w:rPr>
              <w:fldChar w:fldCharType="end"/>
            </w:r>
          </w:hyperlink>
        </w:p>
        <w:p w14:paraId="4390AB31" w14:textId="682A0707" w:rsidR="00D303BC" w:rsidRDefault="00B7501A" w:rsidP="00D43993">
          <w:pPr>
            <w:pStyle w:val="TOC2"/>
          </w:pPr>
          <w:hyperlink w:anchor="_Toc205981761" w:history="1">
            <w:r w:rsidRPr="001D0699">
              <w:rPr>
                <w:rStyle w:val="Hyperlink"/>
              </w:rPr>
              <w:t>x</w:t>
            </w:r>
            <w:r>
              <w:rPr>
                <w:rStyle w:val="Hyperlink"/>
              </w:rPr>
              <w:t>x</w:t>
            </w:r>
            <w:r w:rsidRPr="001D0699">
              <w:rPr>
                <w:rStyle w:val="Hyperlink"/>
              </w:rPr>
              <w:t>.</w:t>
            </w:r>
            <w:r w:rsidRPr="001D0699">
              <w:rPr>
                <w:rFonts w:cstheme="minorBidi"/>
                <w:kern w:val="2"/>
                <w:sz w:val="24"/>
                <w14:ligatures w14:val="standardContextual"/>
              </w:rPr>
              <w:tab/>
            </w:r>
            <w:r w:rsidRPr="001D0699">
              <w:rPr>
                <w:rStyle w:val="Hyperlink"/>
              </w:rPr>
              <w:t>Service Lateral Assessment and Rehabilitation</w:t>
            </w:r>
            <w:r w:rsidRPr="001D0699">
              <w:rPr>
                <w:webHidden/>
              </w:rPr>
              <w:tab/>
            </w:r>
            <w:r w:rsidRPr="001D0699">
              <w:rPr>
                <w:webHidden/>
              </w:rPr>
              <w:fldChar w:fldCharType="begin"/>
            </w:r>
            <w:r w:rsidRPr="001D0699">
              <w:rPr>
                <w:webHidden/>
              </w:rPr>
              <w:instrText xml:space="preserve"> PAGEREF _Toc205981761 \h </w:instrText>
            </w:r>
            <w:r w:rsidRPr="001D0699">
              <w:rPr>
                <w:webHidden/>
              </w:rPr>
            </w:r>
            <w:r w:rsidRPr="001D0699">
              <w:rPr>
                <w:webHidden/>
              </w:rPr>
              <w:fldChar w:fldCharType="separate"/>
            </w:r>
            <w:r w:rsidR="00031C01">
              <w:rPr>
                <w:webHidden/>
              </w:rPr>
              <w:t>14</w:t>
            </w:r>
            <w:r w:rsidRPr="001D0699">
              <w:rPr>
                <w:webHidden/>
              </w:rPr>
              <w:fldChar w:fldCharType="end"/>
            </w:r>
          </w:hyperlink>
        </w:p>
        <w:p w14:paraId="094846F8" w14:textId="09B87FCB" w:rsidR="0007404A" w:rsidRPr="00902A0B" w:rsidRDefault="00B7501A" w:rsidP="00D43993">
          <w:pPr>
            <w:pStyle w:val="TOC2"/>
          </w:pPr>
          <w:hyperlink w:anchor="_Toc205981761" w:history="1">
            <w:r w:rsidRPr="001D0699">
              <w:rPr>
                <w:rStyle w:val="Hyperlink"/>
              </w:rPr>
              <w:t>x</w:t>
            </w:r>
            <w:r>
              <w:rPr>
                <w:rStyle w:val="Hyperlink"/>
              </w:rPr>
              <w:t>xi</w:t>
            </w:r>
            <w:r w:rsidRPr="001D0699">
              <w:rPr>
                <w:rStyle w:val="Hyperlink"/>
              </w:rPr>
              <w:t>.</w:t>
            </w:r>
            <w:r w:rsidRPr="001D0699">
              <w:rPr>
                <w:rFonts w:cstheme="minorBidi"/>
                <w:kern w:val="2"/>
                <w:sz w:val="24"/>
                <w14:ligatures w14:val="standardContextual"/>
              </w:rPr>
              <w:tab/>
            </w:r>
            <w:r w:rsidRPr="0007404A">
              <w:rPr>
                <w:rFonts w:cstheme="minorBidi"/>
                <w:kern w:val="2"/>
                <w:szCs w:val="22"/>
                <w14:ligatures w14:val="standardContextual"/>
              </w:rPr>
              <w:t>Special District  Performance Measures</w:t>
            </w:r>
            <w:r w:rsidRPr="001D0699">
              <w:rPr>
                <w:webHidden/>
              </w:rPr>
              <w:tab/>
            </w:r>
            <w:r w:rsidRPr="001D0699">
              <w:rPr>
                <w:webHidden/>
              </w:rPr>
              <w:fldChar w:fldCharType="begin"/>
            </w:r>
            <w:r w:rsidRPr="001D0699">
              <w:rPr>
                <w:webHidden/>
              </w:rPr>
              <w:instrText xml:space="preserve"> PAGEREF _Toc205981761 \h </w:instrText>
            </w:r>
            <w:r w:rsidRPr="001D0699">
              <w:rPr>
                <w:webHidden/>
              </w:rPr>
            </w:r>
            <w:r w:rsidRPr="001D0699">
              <w:rPr>
                <w:webHidden/>
              </w:rPr>
              <w:fldChar w:fldCharType="separate"/>
            </w:r>
            <w:r w:rsidR="00031C01">
              <w:rPr>
                <w:webHidden/>
              </w:rPr>
              <w:t>14</w:t>
            </w:r>
            <w:r w:rsidRPr="001D0699">
              <w:rPr>
                <w:webHidden/>
              </w:rPr>
              <w:fldChar w:fldCharType="end"/>
            </w:r>
          </w:hyperlink>
        </w:p>
        <w:p w14:paraId="5F600337" w14:textId="78B91939" w:rsidR="00D303BC" w:rsidRPr="001D0699" w:rsidRDefault="00B7501A" w:rsidP="00D43993">
          <w:pPr>
            <w:pStyle w:val="TOC2"/>
            <w:rPr>
              <w:rFonts w:cstheme="minorBidi"/>
              <w:kern w:val="2"/>
              <w:sz w:val="24"/>
              <w14:ligatures w14:val="standardContextual"/>
            </w:rPr>
          </w:pPr>
          <w:hyperlink w:anchor="_Toc205981763" w:history="1">
            <w:r w:rsidRPr="001D0699">
              <w:rPr>
                <w:rStyle w:val="Hyperlink"/>
              </w:rPr>
              <w:t>x</w:t>
            </w:r>
            <w:r>
              <w:rPr>
                <w:rStyle w:val="Hyperlink"/>
              </w:rPr>
              <w:t>x</w:t>
            </w:r>
            <w:r w:rsidRPr="001D0699">
              <w:rPr>
                <w:rStyle w:val="Hyperlink"/>
              </w:rPr>
              <w:t>i</w:t>
            </w:r>
            <w:r>
              <w:rPr>
                <w:rStyle w:val="Hyperlink"/>
              </w:rPr>
              <w:t>i</w:t>
            </w:r>
            <w:r w:rsidRPr="001D0699">
              <w:rPr>
                <w:rStyle w:val="Hyperlink"/>
              </w:rPr>
              <w:t>.</w:t>
            </w:r>
            <w:r w:rsidRPr="001D0699">
              <w:rPr>
                <w:rFonts w:cstheme="minorBidi"/>
                <w:kern w:val="2"/>
                <w:sz w:val="24"/>
                <w14:ligatures w14:val="standardContextual"/>
              </w:rPr>
              <w:tab/>
            </w:r>
            <w:r w:rsidRPr="001D0699">
              <w:rPr>
                <w:rStyle w:val="Hyperlink"/>
              </w:rPr>
              <w:t>Suits Against the Government</w:t>
            </w:r>
            <w:r w:rsidRPr="001D0699">
              <w:rPr>
                <w:webHidden/>
              </w:rPr>
              <w:tab/>
            </w:r>
            <w:r w:rsidRPr="001D0699">
              <w:rPr>
                <w:webHidden/>
              </w:rPr>
              <w:fldChar w:fldCharType="begin"/>
            </w:r>
            <w:r w:rsidRPr="001D0699">
              <w:rPr>
                <w:webHidden/>
              </w:rPr>
              <w:instrText xml:space="preserve"> PAGEREF _Toc205981763 \h </w:instrText>
            </w:r>
            <w:r w:rsidRPr="001D0699">
              <w:rPr>
                <w:webHidden/>
              </w:rPr>
            </w:r>
            <w:r w:rsidRPr="001D0699">
              <w:rPr>
                <w:webHidden/>
              </w:rPr>
              <w:fldChar w:fldCharType="separate"/>
            </w:r>
            <w:r w:rsidR="00031C01">
              <w:rPr>
                <w:webHidden/>
              </w:rPr>
              <w:t>15</w:t>
            </w:r>
            <w:r w:rsidRPr="001D0699">
              <w:rPr>
                <w:webHidden/>
              </w:rPr>
              <w:fldChar w:fldCharType="end"/>
            </w:r>
          </w:hyperlink>
        </w:p>
        <w:p w14:paraId="183D18E8" w14:textId="388E2A54" w:rsidR="00D303BC" w:rsidRPr="001D0699" w:rsidRDefault="00D303BC" w:rsidP="00D43993">
          <w:pPr>
            <w:pStyle w:val="TOC2"/>
            <w:rPr>
              <w:rFonts w:cstheme="minorBidi"/>
              <w:kern w:val="2"/>
              <w:sz w:val="24"/>
              <w14:ligatures w14:val="standardContextual"/>
            </w:rPr>
          </w:pPr>
          <w:hyperlink w:anchor="_Toc205981765" w:history="1">
            <w:r w:rsidRPr="001D0699">
              <w:rPr>
                <w:rStyle w:val="Hyperlink"/>
              </w:rPr>
              <w:t>x</w:t>
            </w:r>
            <w:r w:rsidR="00EE2B5A">
              <w:rPr>
                <w:rStyle w:val="Hyperlink"/>
              </w:rPr>
              <w:t>x</w:t>
            </w:r>
            <w:r w:rsidR="0007404A">
              <w:rPr>
                <w:rStyle w:val="Hyperlink"/>
              </w:rPr>
              <w:t>i</w:t>
            </w:r>
            <w:r w:rsidR="00EE2B5A">
              <w:rPr>
                <w:rStyle w:val="Hyperlink"/>
              </w:rPr>
              <w:t>ii</w:t>
            </w:r>
            <w:r w:rsidRPr="001D0699">
              <w:rPr>
                <w:rStyle w:val="Hyperlink"/>
              </w:rPr>
              <w:t>.</w:t>
            </w:r>
            <w:r w:rsidRPr="001D0699">
              <w:rPr>
                <w:rFonts w:cstheme="minorBidi"/>
                <w:kern w:val="2"/>
                <w:sz w:val="24"/>
                <w14:ligatures w14:val="standardContextual"/>
              </w:rPr>
              <w:tab/>
            </w:r>
            <w:r w:rsidRPr="001D0699">
              <w:rPr>
                <w:rStyle w:val="Hyperlink"/>
              </w:rPr>
              <w:t>Taxation</w:t>
            </w:r>
            <w:r w:rsidRPr="001D0699">
              <w:rPr>
                <w:webHidden/>
              </w:rPr>
              <w:tab/>
            </w:r>
            <w:r w:rsidRPr="001D0699">
              <w:rPr>
                <w:webHidden/>
              </w:rPr>
              <w:fldChar w:fldCharType="begin"/>
            </w:r>
            <w:r w:rsidRPr="001D0699">
              <w:rPr>
                <w:webHidden/>
              </w:rPr>
              <w:instrText xml:space="preserve"> PAGEREF _Toc205981765 \h </w:instrText>
            </w:r>
            <w:r w:rsidRPr="001D0699">
              <w:rPr>
                <w:webHidden/>
              </w:rPr>
            </w:r>
            <w:r w:rsidRPr="001D0699">
              <w:rPr>
                <w:webHidden/>
              </w:rPr>
              <w:fldChar w:fldCharType="separate"/>
            </w:r>
            <w:r w:rsidR="00031C01">
              <w:rPr>
                <w:webHidden/>
              </w:rPr>
              <w:t>15</w:t>
            </w:r>
            <w:r w:rsidRPr="001D0699">
              <w:rPr>
                <w:webHidden/>
              </w:rPr>
              <w:fldChar w:fldCharType="end"/>
            </w:r>
          </w:hyperlink>
        </w:p>
        <w:p w14:paraId="14E6DE71" w14:textId="6BA7A997" w:rsidR="00D303BC" w:rsidRPr="001D0699" w:rsidRDefault="00D303BC" w:rsidP="00D43993">
          <w:pPr>
            <w:pStyle w:val="TOC2"/>
            <w:rPr>
              <w:rFonts w:cstheme="minorBidi"/>
              <w:kern w:val="2"/>
              <w:sz w:val="24"/>
              <w14:ligatures w14:val="standardContextual"/>
            </w:rPr>
          </w:pPr>
          <w:hyperlink w:anchor="_Toc205981767" w:history="1">
            <w:r w:rsidRPr="001D0699">
              <w:rPr>
                <w:rStyle w:val="Hyperlink"/>
              </w:rPr>
              <w:t>xx</w:t>
            </w:r>
            <w:r w:rsidR="00B7501A">
              <w:rPr>
                <w:rStyle w:val="Hyperlink"/>
              </w:rPr>
              <w:t>iv</w:t>
            </w:r>
            <w:r w:rsidRPr="001D0699">
              <w:rPr>
                <w:rStyle w:val="Hyperlink"/>
              </w:rPr>
              <w:t>.</w:t>
            </w:r>
            <w:r w:rsidRPr="001D0699">
              <w:rPr>
                <w:rFonts w:cstheme="minorBidi"/>
                <w:kern w:val="2"/>
                <w:sz w:val="24"/>
                <w14:ligatures w14:val="standardContextual"/>
              </w:rPr>
              <w:tab/>
            </w:r>
            <w:r w:rsidRPr="001D0699">
              <w:rPr>
                <w:rStyle w:val="Hyperlink"/>
              </w:rPr>
              <w:t>Threats from Foreign Nations</w:t>
            </w:r>
            <w:r w:rsidRPr="001D0699">
              <w:rPr>
                <w:webHidden/>
              </w:rPr>
              <w:tab/>
            </w:r>
            <w:r w:rsidRPr="001D0699">
              <w:rPr>
                <w:webHidden/>
              </w:rPr>
              <w:fldChar w:fldCharType="begin"/>
            </w:r>
            <w:r w:rsidRPr="001D0699">
              <w:rPr>
                <w:webHidden/>
              </w:rPr>
              <w:instrText xml:space="preserve"> PAGEREF _Toc205981767 \h </w:instrText>
            </w:r>
            <w:r w:rsidRPr="001D0699">
              <w:rPr>
                <w:webHidden/>
              </w:rPr>
            </w:r>
            <w:r w:rsidRPr="001D0699">
              <w:rPr>
                <w:webHidden/>
              </w:rPr>
              <w:fldChar w:fldCharType="separate"/>
            </w:r>
            <w:r w:rsidR="00031C01">
              <w:rPr>
                <w:webHidden/>
              </w:rPr>
              <w:t>15</w:t>
            </w:r>
            <w:r w:rsidRPr="001D0699">
              <w:rPr>
                <w:webHidden/>
              </w:rPr>
              <w:fldChar w:fldCharType="end"/>
            </w:r>
          </w:hyperlink>
        </w:p>
        <w:p w14:paraId="59CA6151" w14:textId="26607E6C" w:rsidR="00D303BC" w:rsidRDefault="00B7501A" w:rsidP="00D43993">
          <w:pPr>
            <w:pStyle w:val="TOC2"/>
            <w:rPr>
              <w:rFonts w:cstheme="minorBidi"/>
              <w:kern w:val="2"/>
              <w:sz w:val="24"/>
              <w14:ligatures w14:val="standardContextual"/>
            </w:rPr>
          </w:pPr>
          <w:hyperlink w:anchor="_Toc205981769" w:history="1">
            <w:r w:rsidRPr="001D0699">
              <w:rPr>
                <w:rStyle w:val="Hyperlink"/>
              </w:rPr>
              <w:t>xx</w:t>
            </w:r>
            <w:r>
              <w:rPr>
                <w:rStyle w:val="Hyperlink"/>
              </w:rPr>
              <w:t>v</w:t>
            </w:r>
            <w:r w:rsidRPr="001D0699">
              <w:rPr>
                <w:rStyle w:val="Hyperlink"/>
              </w:rPr>
              <w:t>.</w:t>
            </w:r>
            <w:r w:rsidRPr="001D0699">
              <w:rPr>
                <w:rFonts w:cstheme="minorBidi"/>
                <w:kern w:val="2"/>
                <w:sz w:val="24"/>
                <w14:ligatures w14:val="standardContextual"/>
              </w:rPr>
              <w:tab/>
            </w:r>
            <w:r w:rsidRPr="001D0699">
              <w:rPr>
                <w:rStyle w:val="Hyperlink"/>
              </w:rPr>
              <w:t>Utility Services</w:t>
            </w:r>
            <w:r w:rsidRPr="001D0699">
              <w:rPr>
                <w:webHidden/>
              </w:rPr>
              <w:tab/>
            </w:r>
            <w:r w:rsidRPr="001D0699">
              <w:rPr>
                <w:webHidden/>
              </w:rPr>
              <w:fldChar w:fldCharType="begin"/>
            </w:r>
            <w:r w:rsidRPr="001D0699">
              <w:rPr>
                <w:webHidden/>
              </w:rPr>
              <w:instrText xml:space="preserve"> PAGEREF _Toc205981769 \h </w:instrText>
            </w:r>
            <w:r w:rsidRPr="001D0699">
              <w:rPr>
                <w:webHidden/>
              </w:rPr>
            </w:r>
            <w:r w:rsidRPr="001D0699">
              <w:rPr>
                <w:webHidden/>
              </w:rPr>
              <w:fldChar w:fldCharType="separate"/>
            </w:r>
            <w:r w:rsidR="00031C01">
              <w:rPr>
                <w:webHidden/>
              </w:rPr>
              <w:t>15</w:t>
            </w:r>
            <w:r w:rsidRPr="001D0699">
              <w:rPr>
                <w:webHidden/>
              </w:rPr>
              <w:fldChar w:fldCharType="end"/>
            </w:r>
          </w:hyperlink>
        </w:p>
        <w:p w14:paraId="7803CE34" w14:textId="22005D01" w:rsidR="0007404A" w:rsidRDefault="00D303BC" w:rsidP="00D43993">
          <w:pPr>
            <w:pStyle w:val="TOC2"/>
          </w:pPr>
          <w:hyperlink w:anchor="_Toc205981771" w:history="1">
            <w:r w:rsidRPr="005663A6">
              <w:rPr>
                <w:rStyle w:val="Hyperlink"/>
              </w:rPr>
              <w:t>xx</w:t>
            </w:r>
            <w:r w:rsidR="00B7501A">
              <w:rPr>
                <w:rStyle w:val="Hyperlink"/>
              </w:rPr>
              <w:t>v</w:t>
            </w:r>
            <w:r w:rsidRPr="005663A6">
              <w:rPr>
                <w:rStyle w:val="Hyperlink"/>
              </w:rPr>
              <w:t>i.</w:t>
            </w:r>
            <w:r>
              <w:rPr>
                <w:rFonts w:cstheme="minorBidi"/>
                <w:kern w:val="2"/>
                <w:sz w:val="24"/>
                <w14:ligatures w14:val="standardContextual"/>
              </w:rPr>
              <w:tab/>
            </w:r>
            <w:r w:rsidR="00521050">
              <w:rPr>
                <w:rStyle w:val="Hyperlink"/>
              </w:rPr>
              <w:t xml:space="preserve">Various </w:t>
            </w:r>
            <w:r w:rsidRPr="005663A6">
              <w:rPr>
                <w:rStyle w:val="Hyperlink"/>
              </w:rPr>
              <w:t>Bill</w:t>
            </w:r>
            <w:r w:rsidR="007F6373">
              <w:rPr>
                <w:rStyle w:val="Hyperlink"/>
              </w:rPr>
              <w:t>s</w:t>
            </w:r>
            <w:r w:rsidRPr="005663A6">
              <w:rPr>
                <w:rStyle w:val="Hyperlink"/>
              </w:rPr>
              <w:t xml:space="preserve"> Re</w:t>
            </w:r>
            <w:r w:rsidR="007F6373">
              <w:rPr>
                <w:rStyle w:val="Hyperlink"/>
              </w:rPr>
              <w:t>lat</w:t>
            </w:r>
            <w:r w:rsidRPr="005663A6">
              <w:rPr>
                <w:rStyle w:val="Hyperlink"/>
              </w:rPr>
              <w:t xml:space="preserve">ing </w:t>
            </w:r>
            <w:r w:rsidR="007F6373">
              <w:rPr>
                <w:rStyle w:val="Hyperlink"/>
              </w:rPr>
              <w:t xml:space="preserve">to </w:t>
            </w:r>
            <w:r w:rsidR="00A05AF5">
              <w:rPr>
                <w:rStyle w:val="Hyperlink"/>
              </w:rPr>
              <w:t xml:space="preserve">Ad Valorem </w:t>
            </w:r>
            <w:r w:rsidRPr="005663A6">
              <w:rPr>
                <w:rStyle w:val="Hyperlink"/>
              </w:rPr>
              <w:t>Tax Assessments</w:t>
            </w:r>
            <w:r>
              <w:rPr>
                <w:webHidden/>
              </w:rPr>
              <w:tab/>
            </w:r>
            <w:r>
              <w:rPr>
                <w:webHidden/>
              </w:rPr>
              <w:fldChar w:fldCharType="begin"/>
            </w:r>
            <w:r>
              <w:rPr>
                <w:webHidden/>
              </w:rPr>
              <w:instrText xml:space="preserve"> PAGEREF _Toc205981771 \h </w:instrText>
            </w:r>
            <w:r>
              <w:rPr>
                <w:webHidden/>
              </w:rPr>
            </w:r>
            <w:r>
              <w:rPr>
                <w:webHidden/>
              </w:rPr>
              <w:fldChar w:fldCharType="separate"/>
            </w:r>
            <w:r w:rsidR="00031C01">
              <w:rPr>
                <w:webHidden/>
              </w:rPr>
              <w:t>16</w:t>
            </w:r>
            <w:r>
              <w:rPr>
                <w:webHidden/>
              </w:rPr>
              <w:fldChar w:fldCharType="end"/>
            </w:r>
          </w:hyperlink>
          <w:r w:rsidR="00A206F2">
            <w:fldChar w:fldCharType="end"/>
          </w:r>
        </w:p>
        <w:p w14:paraId="0EC08BF8" w14:textId="242CE7C9" w:rsidR="00B44296" w:rsidRPr="00D43993" w:rsidRDefault="008747CA" w:rsidP="00D43993">
          <w:pPr>
            <w:pStyle w:val="TOC2"/>
            <w:sectPr w:rsidR="00B44296" w:rsidRPr="00D43993" w:rsidSect="00B44296">
              <w:footerReference w:type="default" r:id="rId11"/>
              <w:pgSz w:w="12240" w:h="15840"/>
              <w:pgMar w:top="1440" w:right="1440" w:bottom="1296" w:left="1440" w:header="720" w:footer="720" w:gutter="0"/>
              <w:pgNumType w:start="1"/>
              <w:cols w:space="720"/>
              <w:titlePg/>
              <w:docGrid w:linePitch="360"/>
            </w:sectPr>
          </w:pPr>
          <w:hyperlink w:anchor="_Toc205981761" w:history="1">
            <w:r w:rsidRPr="00D43993">
              <w:rPr>
                <w:rStyle w:val="Hyperlink"/>
                <w:color w:val="000000" w:themeColor="text1"/>
                <w:u w:val="none"/>
              </w:rPr>
              <w:t>xxvii.</w:t>
            </w:r>
            <w:r w:rsidRPr="00D43993">
              <w:rPr>
                <w:rFonts w:cstheme="minorBidi"/>
                <w:kern w:val="2"/>
                <w:sz w:val="24"/>
                <w14:ligatures w14:val="standardContextual"/>
              </w:rPr>
              <w:tab/>
            </w:r>
            <w:r w:rsidRPr="00D43993">
              <w:rPr>
                <w:rStyle w:val="Hyperlink"/>
                <w:color w:val="000000" w:themeColor="text1"/>
                <w:u w:val="none"/>
              </w:rPr>
              <w:t>Water Management Districts</w:t>
            </w:r>
            <w:r w:rsidRPr="00D43993">
              <w:rPr>
                <w:webHidden/>
              </w:rPr>
              <w:tab/>
            </w:r>
            <w:r w:rsidRPr="00D43993">
              <w:rPr>
                <w:webHidden/>
              </w:rPr>
              <w:fldChar w:fldCharType="begin"/>
            </w:r>
            <w:r w:rsidRPr="00D43993">
              <w:rPr>
                <w:webHidden/>
              </w:rPr>
              <w:instrText xml:space="preserve"> PAGEREF _Toc205981761 \h </w:instrText>
            </w:r>
            <w:r w:rsidRPr="00D43993">
              <w:rPr>
                <w:webHidden/>
              </w:rPr>
            </w:r>
            <w:r w:rsidRPr="00D43993">
              <w:rPr>
                <w:webHidden/>
              </w:rPr>
              <w:fldChar w:fldCharType="separate"/>
            </w:r>
            <w:r w:rsidR="00031C01">
              <w:rPr>
                <w:webHidden/>
              </w:rPr>
              <w:t>14</w:t>
            </w:r>
            <w:r w:rsidRPr="00D43993">
              <w:rPr>
                <w:webHidden/>
              </w:rPr>
              <w:fldChar w:fldCharType="end"/>
            </w:r>
          </w:hyperlink>
        </w:p>
      </w:sdtContent>
    </w:sdt>
    <w:p w14:paraId="0BC66C02" w14:textId="77777777" w:rsidR="00B44296" w:rsidRPr="001622C9" w:rsidRDefault="6C6D6F58" w:rsidP="00B44296">
      <w:pPr>
        <w:pStyle w:val="H1"/>
      </w:pPr>
      <w:bookmarkStart w:id="0" w:name="_Toc205981716"/>
      <w:r>
        <w:lastRenderedPageBreak/>
        <w:t>PASSED BILLS</w:t>
      </w:r>
      <w:bookmarkEnd w:id="0"/>
    </w:p>
    <w:p w14:paraId="183BB572" w14:textId="77777777" w:rsidR="006563EE" w:rsidRDefault="6C6D6F58" w:rsidP="006563EE">
      <w:pPr>
        <w:pStyle w:val="H2"/>
      </w:pPr>
      <w:bookmarkStart w:id="1" w:name="_Toc204690116"/>
      <w:bookmarkStart w:id="2" w:name="_Toc205981717"/>
      <w:r>
        <w:t>Ad Valorem Taxation</w:t>
      </w:r>
      <w:bookmarkEnd w:id="1"/>
      <w:bookmarkEnd w:id="2"/>
    </w:p>
    <w:p w14:paraId="45AC9667" w14:textId="411194CB" w:rsidR="006563EE" w:rsidRPr="00B44296" w:rsidRDefault="006563EE" w:rsidP="006563EE">
      <w:pPr>
        <w:spacing w:line="276" w:lineRule="auto"/>
        <w:ind w:left="540"/>
        <w:jc w:val="both"/>
        <w:rPr>
          <w:rFonts w:cstheme="minorHAnsi"/>
          <w:bCs/>
          <w:szCs w:val="22"/>
        </w:rPr>
      </w:pPr>
      <w:r>
        <w:rPr>
          <w:rFonts w:cstheme="minorHAnsi"/>
          <w:bCs/>
          <w:szCs w:val="22"/>
        </w:rPr>
        <w:t>CS/HJR 1215</w:t>
      </w:r>
      <w:r w:rsidRPr="00B44296">
        <w:rPr>
          <w:rFonts w:cstheme="minorHAnsi"/>
          <w:bCs/>
          <w:szCs w:val="22"/>
        </w:rPr>
        <w:t xml:space="preserve"> (</w:t>
      </w:r>
      <w:r w:rsidRPr="00F77617">
        <w:rPr>
          <w:rFonts w:cstheme="minorHAnsi"/>
          <w:bCs/>
          <w:szCs w:val="22"/>
        </w:rPr>
        <w:t>J</w:t>
      </w:r>
      <w:r>
        <w:rPr>
          <w:rFonts w:cstheme="minorHAnsi"/>
          <w:bCs/>
          <w:szCs w:val="22"/>
        </w:rPr>
        <w:t>oint Resolution</w:t>
      </w:r>
      <w:r w:rsidRPr="00F77617">
        <w:rPr>
          <w:rFonts w:cstheme="minorHAnsi"/>
          <w:bCs/>
          <w:szCs w:val="22"/>
        </w:rPr>
        <w:t> by State Affairs Committee; Alvarez, D. Barnaby; Chamberlin; Fabricio; López, J.; Maggard; Owen; Salzman; Yarkosky</w:t>
      </w:r>
      <w:r>
        <w:rPr>
          <w:rFonts w:cstheme="minorHAnsi"/>
          <w:bCs/>
          <w:szCs w:val="22"/>
        </w:rPr>
        <w:t>)</w:t>
      </w:r>
      <w:r w:rsidRPr="00B44296">
        <w:rPr>
          <w:rFonts w:cstheme="minorHAnsi"/>
          <w:bCs/>
          <w:szCs w:val="22"/>
        </w:rPr>
        <w:t xml:space="preserve"> </w:t>
      </w:r>
      <w:r w:rsidRPr="00F77617">
        <w:rPr>
          <w:rFonts w:cstheme="minorHAnsi"/>
          <w:bCs/>
          <w:szCs w:val="22"/>
        </w:rPr>
        <w:t>Proposes amendment to State Constitution to exempt certain tangible personal property from ad valorem taxation.</w:t>
      </w:r>
    </w:p>
    <w:p w14:paraId="0912CBE8" w14:textId="77777777" w:rsidR="006563EE" w:rsidRDefault="006563EE" w:rsidP="00CC0861">
      <w:pPr>
        <w:spacing w:line="276" w:lineRule="auto"/>
        <w:jc w:val="both"/>
        <w:rPr>
          <w:rFonts w:cstheme="minorHAnsi"/>
          <w:bCs/>
          <w:szCs w:val="22"/>
        </w:rPr>
      </w:pPr>
    </w:p>
    <w:p w14:paraId="36F0D42E" w14:textId="3894F623" w:rsidR="006563EE" w:rsidRDefault="006563EE" w:rsidP="00E972DF">
      <w:pPr>
        <w:spacing w:after="120"/>
        <w:ind w:left="540"/>
        <w:jc w:val="both"/>
      </w:pPr>
      <w:r w:rsidRPr="006563EE">
        <w:t xml:space="preserve">Effective date: </w:t>
      </w:r>
      <w:r w:rsidR="00E972DF">
        <w:t>If approved, t</w:t>
      </w:r>
      <w:r w:rsidR="00AF6CE8">
        <w:t>he</w:t>
      </w:r>
      <w:r w:rsidR="00E972DF">
        <w:t xml:space="preserve"> amendment would apply for tax years beginning January 1, 2027</w:t>
      </w:r>
      <w:r w:rsidRPr="006563EE">
        <w:t>.</w:t>
      </w:r>
    </w:p>
    <w:p w14:paraId="7680BAB3" w14:textId="77777777" w:rsidR="006563EE" w:rsidRPr="00010812" w:rsidRDefault="6C6D6F58" w:rsidP="006563EE">
      <w:pPr>
        <w:pStyle w:val="H2"/>
        <w:spacing w:line="276" w:lineRule="auto"/>
      </w:pPr>
      <w:bookmarkStart w:id="3" w:name="_Toc205981718"/>
      <w:r>
        <w:t>Agricultural Worker Housing, Mosquito Control, Fluoride</w:t>
      </w:r>
      <w:bookmarkEnd w:id="3"/>
    </w:p>
    <w:p w14:paraId="43876F32" w14:textId="77777777" w:rsidR="006563EE" w:rsidRPr="00010812" w:rsidRDefault="006563EE" w:rsidP="006563EE">
      <w:pPr>
        <w:spacing w:line="276" w:lineRule="auto"/>
        <w:ind w:left="540"/>
        <w:jc w:val="both"/>
        <w:rPr>
          <w:rFonts w:cstheme="minorHAnsi"/>
          <w:bCs/>
          <w:szCs w:val="22"/>
        </w:rPr>
      </w:pPr>
      <w:r w:rsidRPr="00010812">
        <w:rPr>
          <w:rFonts w:cstheme="minorHAnsi"/>
          <w:bCs/>
          <w:szCs w:val="22"/>
        </w:rPr>
        <w:t>Ch. 2025-22, L.O.F., (SB 700 (Truenow)) amends several statutes related to the migrant housing.  Specifically:</w:t>
      </w:r>
    </w:p>
    <w:p w14:paraId="3DC1A8E8" w14:textId="47AB4F6C" w:rsidR="006563EE" w:rsidRPr="00AF564B" w:rsidRDefault="006563EE" w:rsidP="006563EE">
      <w:pPr>
        <w:pStyle w:val="ListParagraph"/>
        <w:numPr>
          <w:ilvl w:val="0"/>
          <w:numId w:val="6"/>
        </w:numPr>
        <w:spacing w:after="160" w:line="276" w:lineRule="auto"/>
        <w:ind w:left="1267"/>
        <w:jc w:val="both"/>
        <w:rPr>
          <w:rFonts w:cstheme="minorHAnsi"/>
          <w:szCs w:val="22"/>
        </w:rPr>
      </w:pPr>
      <w:r w:rsidRPr="00010812">
        <w:rPr>
          <w:rFonts w:cstheme="minorHAnsi"/>
          <w:szCs w:val="22"/>
        </w:rPr>
        <w:t xml:space="preserve">A governmental entity may not adopt or enforce any legislation, regulation, or ordinance to inhibit the construction or installation of housing for legally verified </w:t>
      </w:r>
      <w:r w:rsidRPr="00AF564B">
        <w:rPr>
          <w:rFonts w:cstheme="minorHAnsi"/>
          <w:szCs w:val="22"/>
        </w:rPr>
        <w:t xml:space="preserve">agricultural workers on land classified as agricultural land pursuant to s. 193.461 which is operated as a bona fide farm except as provided in this subsection Amends s. 27.703, F.S., to require appointed capital collateral regional counsel or other appointed attorney to be paid from funds appropriated to the Justice Administrative Commission. </w:t>
      </w:r>
    </w:p>
    <w:p w14:paraId="49799AA8" w14:textId="77777777" w:rsidR="006563EE" w:rsidRPr="00AF564B" w:rsidRDefault="006563EE" w:rsidP="006563EE">
      <w:pPr>
        <w:pStyle w:val="ListParagraph"/>
        <w:numPr>
          <w:ilvl w:val="0"/>
          <w:numId w:val="6"/>
        </w:numPr>
        <w:spacing w:after="160" w:line="276" w:lineRule="auto"/>
        <w:ind w:left="1267"/>
        <w:jc w:val="both"/>
        <w:rPr>
          <w:rFonts w:cstheme="minorHAnsi"/>
          <w:szCs w:val="22"/>
        </w:rPr>
      </w:pPr>
      <w:r w:rsidRPr="00AF564B">
        <w:rPr>
          <w:rFonts w:cstheme="minorHAnsi"/>
          <w:szCs w:val="22"/>
        </w:rPr>
        <w:t xml:space="preserve">The bill specifies setbacks and fencing requirements. </w:t>
      </w:r>
    </w:p>
    <w:p w14:paraId="592EF8B8" w14:textId="6673DC94" w:rsidR="006563EE" w:rsidRDefault="006563EE" w:rsidP="006563EE">
      <w:pPr>
        <w:pStyle w:val="ListParagraph"/>
        <w:numPr>
          <w:ilvl w:val="0"/>
          <w:numId w:val="6"/>
        </w:numPr>
        <w:spacing w:after="160" w:line="276" w:lineRule="auto"/>
        <w:ind w:left="1267"/>
        <w:jc w:val="both"/>
        <w:rPr>
          <w:rFonts w:cstheme="minorHAnsi"/>
          <w:szCs w:val="22"/>
        </w:rPr>
      </w:pPr>
      <w:r w:rsidRPr="00AF564B">
        <w:rPr>
          <w:rFonts w:cstheme="minorHAnsi"/>
          <w:szCs w:val="22"/>
        </w:rPr>
        <w:t xml:space="preserve">The bill allows municipalities to conduct mosquito control functions (formerly, such functions were limited to counties and special districts).  </w:t>
      </w:r>
    </w:p>
    <w:p w14:paraId="7A0894F0" w14:textId="77777777" w:rsidR="006563EE" w:rsidRPr="00AF564B" w:rsidRDefault="006563EE" w:rsidP="00C71059">
      <w:pPr>
        <w:pStyle w:val="ListParagraph"/>
        <w:numPr>
          <w:ilvl w:val="0"/>
          <w:numId w:val="6"/>
        </w:numPr>
        <w:spacing w:after="240" w:line="276" w:lineRule="auto"/>
        <w:ind w:left="1267"/>
        <w:jc w:val="both"/>
        <w:rPr>
          <w:rFonts w:cstheme="minorHAnsi"/>
          <w:szCs w:val="22"/>
        </w:rPr>
      </w:pPr>
      <w:r>
        <w:rPr>
          <w:rFonts w:cstheme="minorHAnsi"/>
          <w:szCs w:val="22"/>
        </w:rPr>
        <w:t>Prohibits t</w:t>
      </w:r>
      <w:r w:rsidRPr="00AF564B">
        <w:rPr>
          <w:rFonts w:cstheme="minorHAnsi"/>
          <w:szCs w:val="22"/>
        </w:rPr>
        <w:t>he</w:t>
      </w:r>
      <w:r>
        <w:rPr>
          <w:rFonts w:cstheme="minorHAnsi"/>
          <w:szCs w:val="22"/>
        </w:rPr>
        <w:t xml:space="preserve"> </w:t>
      </w:r>
      <w:r w:rsidRPr="00AF564B">
        <w:rPr>
          <w:rFonts w:cstheme="minorHAnsi"/>
          <w:szCs w:val="22"/>
        </w:rPr>
        <w:t>use</w:t>
      </w:r>
      <w:r>
        <w:rPr>
          <w:rFonts w:cstheme="minorHAnsi"/>
          <w:szCs w:val="22"/>
        </w:rPr>
        <w:t xml:space="preserve"> </w:t>
      </w:r>
      <w:r w:rsidRPr="00AF564B">
        <w:rPr>
          <w:rFonts w:cstheme="minorHAnsi"/>
          <w:szCs w:val="22"/>
        </w:rPr>
        <w:t>of</w:t>
      </w:r>
      <w:r>
        <w:rPr>
          <w:rFonts w:cstheme="minorHAnsi"/>
          <w:szCs w:val="22"/>
        </w:rPr>
        <w:t xml:space="preserve"> </w:t>
      </w:r>
      <w:r w:rsidRPr="00AF564B">
        <w:rPr>
          <w:rFonts w:cstheme="minorHAnsi"/>
          <w:szCs w:val="22"/>
        </w:rPr>
        <w:t>any</w:t>
      </w:r>
      <w:r>
        <w:rPr>
          <w:rFonts w:cstheme="minorHAnsi"/>
          <w:szCs w:val="22"/>
        </w:rPr>
        <w:t xml:space="preserve"> </w:t>
      </w:r>
      <w:r w:rsidRPr="00AF564B">
        <w:rPr>
          <w:rFonts w:cstheme="minorHAnsi"/>
          <w:szCs w:val="22"/>
        </w:rPr>
        <w:t>additive in a public water system which does not meet the definition of a water quality additive as defined in s. 403.852(19)</w:t>
      </w:r>
      <w:r>
        <w:rPr>
          <w:rFonts w:cstheme="minorHAnsi"/>
          <w:szCs w:val="22"/>
        </w:rPr>
        <w:t>; i.e., prohibits fluoride</w:t>
      </w:r>
      <w:r w:rsidRPr="00AF564B">
        <w:rPr>
          <w:rFonts w:cstheme="minorHAnsi"/>
          <w:szCs w:val="22"/>
        </w:rPr>
        <w:t>.</w:t>
      </w:r>
    </w:p>
    <w:p w14:paraId="773CB982" w14:textId="50CC34E6" w:rsidR="006563EE" w:rsidRPr="00CC0861" w:rsidRDefault="006563EE" w:rsidP="00CC0861">
      <w:pPr>
        <w:spacing w:after="120" w:line="276" w:lineRule="auto"/>
        <w:ind w:left="540"/>
        <w:jc w:val="both"/>
        <w:rPr>
          <w:rFonts w:cstheme="minorHAnsi"/>
          <w:bCs/>
          <w:szCs w:val="22"/>
        </w:rPr>
      </w:pPr>
      <w:r w:rsidRPr="00415892">
        <w:rPr>
          <w:rFonts w:cstheme="minorHAnsi"/>
          <w:bCs/>
          <w:szCs w:val="22"/>
        </w:rPr>
        <w:t>Effective date: July 1, 2025.</w:t>
      </w:r>
    </w:p>
    <w:p w14:paraId="562A4412" w14:textId="69FA0CE8" w:rsidR="00B44296" w:rsidRDefault="6C6D6F58" w:rsidP="00B44296">
      <w:pPr>
        <w:pStyle w:val="H2"/>
        <w:spacing w:line="276" w:lineRule="auto"/>
      </w:pPr>
      <w:bookmarkStart w:id="4" w:name="_Toc205981719"/>
      <w:r>
        <w:t>Building Projects</w:t>
      </w:r>
      <w:bookmarkEnd w:id="4"/>
    </w:p>
    <w:p w14:paraId="2E823AFC" w14:textId="5990F0FA" w:rsidR="00B44296" w:rsidRDefault="00B44296" w:rsidP="00B44296">
      <w:pPr>
        <w:ind w:left="540"/>
        <w:rPr>
          <w:rFonts w:cstheme="minorHAnsi"/>
          <w:szCs w:val="22"/>
        </w:rPr>
      </w:pPr>
      <w:bookmarkStart w:id="5" w:name="_Hlk162949103"/>
      <w:bookmarkStart w:id="6" w:name="_Toc162450700"/>
      <w:bookmarkStart w:id="7" w:name="_Toc162518048"/>
      <w:bookmarkStart w:id="8" w:name="_Toc162543547"/>
      <w:bookmarkStart w:id="9" w:name="_Toc169506799"/>
      <w:bookmarkStart w:id="10" w:name="_Toc170315082"/>
      <w:bookmarkStart w:id="11" w:name="_Toc170315393"/>
      <w:r w:rsidRPr="00BE0734">
        <w:rPr>
          <w:rFonts w:cstheme="minorHAnsi"/>
          <w:szCs w:val="22"/>
        </w:rPr>
        <w:t>Ch. 202</w:t>
      </w:r>
      <w:r w:rsidR="00987B29" w:rsidRPr="00BE0734">
        <w:rPr>
          <w:rFonts w:cstheme="minorHAnsi"/>
          <w:szCs w:val="22"/>
        </w:rPr>
        <w:t>5</w:t>
      </w:r>
      <w:r w:rsidRPr="00BE0734">
        <w:rPr>
          <w:rFonts w:cstheme="minorHAnsi"/>
          <w:szCs w:val="22"/>
        </w:rPr>
        <w:t>-</w:t>
      </w:r>
      <w:r w:rsidR="00987B29" w:rsidRPr="00BE0734">
        <w:rPr>
          <w:rFonts w:cstheme="minorHAnsi"/>
          <w:szCs w:val="22"/>
        </w:rPr>
        <w:t>40</w:t>
      </w:r>
      <w:r w:rsidRPr="00BE0734">
        <w:rPr>
          <w:rFonts w:cstheme="minorHAnsi"/>
          <w:szCs w:val="22"/>
        </w:rPr>
        <w:t xml:space="preserve"> L.O.F.,</w:t>
      </w:r>
      <w:bookmarkEnd w:id="5"/>
      <w:r w:rsidRPr="00832C61">
        <w:rPr>
          <w:rFonts w:cstheme="minorHAnsi"/>
          <w:szCs w:val="22"/>
        </w:rPr>
        <w:t xml:space="preserve"> (</w:t>
      </w:r>
      <w:r w:rsidR="00987B29">
        <w:rPr>
          <w:rFonts w:cstheme="minorHAnsi"/>
          <w:szCs w:val="22"/>
        </w:rPr>
        <w:t>H</w:t>
      </w:r>
      <w:r w:rsidRPr="00832C61">
        <w:rPr>
          <w:rFonts w:cstheme="minorHAnsi"/>
          <w:szCs w:val="22"/>
        </w:rPr>
        <w:t xml:space="preserve">B </w:t>
      </w:r>
      <w:r w:rsidR="00987B29">
        <w:rPr>
          <w:rFonts w:cstheme="minorHAnsi"/>
          <w:szCs w:val="22"/>
        </w:rPr>
        <w:t xml:space="preserve">683 </w:t>
      </w:r>
      <w:r w:rsidR="00343E9C">
        <w:rPr>
          <w:rFonts w:cstheme="minorHAnsi"/>
          <w:szCs w:val="22"/>
        </w:rPr>
        <w:t>(</w:t>
      </w:r>
      <w:r w:rsidR="00987B29" w:rsidRPr="00987B29">
        <w:rPr>
          <w:rFonts w:cstheme="minorHAnsi"/>
          <w:szCs w:val="22"/>
        </w:rPr>
        <w:t>Griffitts; Benarroch; Salzman</w:t>
      </w:r>
      <w:r w:rsidRPr="00832C61">
        <w:rPr>
          <w:rFonts w:cstheme="minorHAnsi"/>
          <w:szCs w:val="22"/>
        </w:rPr>
        <w:t>)) The bill:</w:t>
      </w:r>
      <w:bookmarkEnd w:id="6"/>
      <w:bookmarkEnd w:id="7"/>
      <w:bookmarkEnd w:id="8"/>
      <w:bookmarkEnd w:id="9"/>
      <w:bookmarkEnd w:id="10"/>
      <w:bookmarkEnd w:id="11"/>
    </w:p>
    <w:p w14:paraId="551DA438" w14:textId="77777777" w:rsidR="00B44296" w:rsidRPr="001F0AFD" w:rsidRDefault="00B44296" w:rsidP="00B44296">
      <w:pPr>
        <w:rPr>
          <w:szCs w:val="22"/>
        </w:rPr>
      </w:pPr>
    </w:p>
    <w:p w14:paraId="4E30960D" w14:textId="77777777" w:rsidR="00987B29" w:rsidRDefault="00987B29" w:rsidP="00B44296">
      <w:pPr>
        <w:pStyle w:val="ListParagraph"/>
        <w:numPr>
          <w:ilvl w:val="0"/>
          <w:numId w:val="6"/>
        </w:numPr>
        <w:spacing w:line="276" w:lineRule="auto"/>
        <w:ind w:left="1267"/>
        <w:jc w:val="both"/>
        <w:rPr>
          <w:rFonts w:cstheme="minorHAnsi"/>
          <w:szCs w:val="22"/>
        </w:rPr>
      </w:pPr>
      <w:r>
        <w:rPr>
          <w:rFonts w:cstheme="minorHAnsi"/>
          <w:szCs w:val="22"/>
        </w:rPr>
        <w:t xml:space="preserve">Prohibits local governments from prohibiting homeowners from installing synthetic turf.  </w:t>
      </w:r>
    </w:p>
    <w:p w14:paraId="59D7BFC4" w14:textId="7D9E3E3D" w:rsidR="00987B29" w:rsidRDefault="00987B29" w:rsidP="00B44296">
      <w:pPr>
        <w:pStyle w:val="ListParagraph"/>
        <w:numPr>
          <w:ilvl w:val="0"/>
          <w:numId w:val="6"/>
        </w:numPr>
        <w:spacing w:line="276" w:lineRule="auto"/>
        <w:ind w:left="1267"/>
        <w:jc w:val="both"/>
        <w:rPr>
          <w:rFonts w:cstheme="minorHAnsi"/>
          <w:szCs w:val="22"/>
        </w:rPr>
      </w:pPr>
      <w:r w:rsidRPr="00987B29">
        <w:rPr>
          <w:rFonts w:cstheme="minorHAnsi"/>
          <w:szCs w:val="22"/>
        </w:rPr>
        <w:t>Prompt processing of change orders</w:t>
      </w:r>
      <w:r w:rsidR="00B43F68">
        <w:rPr>
          <w:rFonts w:cstheme="minorHAnsi"/>
          <w:szCs w:val="22"/>
        </w:rPr>
        <w:t xml:space="preserve">: </w:t>
      </w:r>
      <w:r w:rsidRPr="00987B29">
        <w:rPr>
          <w:rFonts w:cstheme="minorHAnsi"/>
          <w:szCs w:val="22"/>
        </w:rPr>
        <w:t>For any contract for construction services entered into on or after July 1, 2025, if a local government receives from its contractor a price quote for a change order requested or issued by the local government for construction services, and the price quote conforms to all statutory requirements and contractual requirements for the project</w:t>
      </w:r>
      <w:r>
        <w:rPr>
          <w:rFonts w:cstheme="minorHAnsi"/>
          <w:szCs w:val="22"/>
        </w:rPr>
        <w:t>:</w:t>
      </w:r>
    </w:p>
    <w:p w14:paraId="2EC0B8BC" w14:textId="39078D1B" w:rsidR="006F7620" w:rsidRDefault="00987B29" w:rsidP="00987B29">
      <w:pPr>
        <w:pStyle w:val="ListParagraph"/>
        <w:numPr>
          <w:ilvl w:val="1"/>
          <w:numId w:val="6"/>
        </w:numPr>
        <w:spacing w:line="276" w:lineRule="auto"/>
        <w:jc w:val="both"/>
        <w:rPr>
          <w:rFonts w:cstheme="minorHAnsi"/>
          <w:szCs w:val="22"/>
        </w:rPr>
      </w:pPr>
      <w:r>
        <w:rPr>
          <w:rFonts w:cstheme="minorHAnsi"/>
          <w:szCs w:val="22"/>
        </w:rPr>
        <w:t>T</w:t>
      </w:r>
      <w:r w:rsidRPr="00987B29">
        <w:rPr>
          <w:rFonts w:cstheme="minorHAnsi"/>
          <w:szCs w:val="22"/>
        </w:rPr>
        <w:t xml:space="preserve">he local government must approve or deny the price quote and send written notice of that decision to the contractor within 35 days after receipt of such quote. </w:t>
      </w:r>
    </w:p>
    <w:p w14:paraId="4F3B9AD6" w14:textId="77777777" w:rsidR="006F7620" w:rsidRDefault="00987B29" w:rsidP="00987B29">
      <w:pPr>
        <w:pStyle w:val="ListParagraph"/>
        <w:numPr>
          <w:ilvl w:val="1"/>
          <w:numId w:val="6"/>
        </w:numPr>
        <w:spacing w:line="276" w:lineRule="auto"/>
        <w:jc w:val="both"/>
        <w:rPr>
          <w:rFonts w:cstheme="minorHAnsi"/>
          <w:szCs w:val="22"/>
        </w:rPr>
      </w:pPr>
      <w:r w:rsidRPr="00987B29">
        <w:rPr>
          <w:rFonts w:cstheme="minorHAnsi"/>
          <w:szCs w:val="22"/>
        </w:rPr>
        <w:t xml:space="preserve">A denial notice must specify the alleged deficiencies in the price quote and the actions necessary to remedy those deficiencies. </w:t>
      </w:r>
      <w:r w:rsidR="006F7620">
        <w:rPr>
          <w:rFonts w:cstheme="minorHAnsi"/>
          <w:szCs w:val="22"/>
        </w:rPr>
        <w:t xml:space="preserve"> </w:t>
      </w:r>
      <w:r w:rsidRPr="00987B29">
        <w:rPr>
          <w:rFonts w:cstheme="minorHAnsi"/>
          <w:szCs w:val="22"/>
        </w:rPr>
        <w:t xml:space="preserve">If the local governmental entity fails to provide the contractor with a notice in </w:t>
      </w:r>
      <w:r w:rsidRPr="00987B29">
        <w:rPr>
          <w:rFonts w:cstheme="minorHAnsi"/>
          <w:szCs w:val="22"/>
        </w:rPr>
        <w:lastRenderedPageBreak/>
        <w:t xml:space="preserve">compliance with this section, the change order and price quote are deemed approved, and the local governmental entity must pay the contractor the amount stated in the price quote upon the completion of the change order. </w:t>
      </w:r>
    </w:p>
    <w:p w14:paraId="6D31EDE7" w14:textId="4BD4A99F" w:rsidR="00B44296" w:rsidRDefault="00987B29" w:rsidP="00987B29">
      <w:pPr>
        <w:pStyle w:val="ListParagraph"/>
        <w:numPr>
          <w:ilvl w:val="1"/>
          <w:numId w:val="6"/>
        </w:numPr>
        <w:spacing w:line="276" w:lineRule="auto"/>
        <w:jc w:val="both"/>
        <w:rPr>
          <w:rFonts w:cstheme="minorHAnsi"/>
          <w:szCs w:val="22"/>
        </w:rPr>
      </w:pPr>
      <w:r w:rsidRPr="00987B29">
        <w:rPr>
          <w:rFonts w:cstheme="minorHAnsi"/>
          <w:szCs w:val="22"/>
        </w:rPr>
        <w:t>A contract between a local government and a contractor may not alter the local governmental entity’s duties under this section.</w:t>
      </w:r>
    </w:p>
    <w:p w14:paraId="0CC9424A" w14:textId="570C4695" w:rsidR="00343E9C" w:rsidRPr="00C71059" w:rsidRDefault="006F7620" w:rsidP="00C71059">
      <w:pPr>
        <w:pStyle w:val="ListParagraph"/>
        <w:numPr>
          <w:ilvl w:val="0"/>
          <w:numId w:val="6"/>
        </w:numPr>
        <w:spacing w:after="240" w:line="276" w:lineRule="auto"/>
        <w:ind w:left="1267"/>
        <w:jc w:val="both"/>
        <w:rPr>
          <w:rFonts w:cstheme="minorHAnsi"/>
          <w:szCs w:val="22"/>
        </w:rPr>
      </w:pPr>
      <w:r w:rsidRPr="006F7620">
        <w:rPr>
          <w:rFonts w:cstheme="minorHAnsi"/>
          <w:szCs w:val="22"/>
        </w:rPr>
        <w:t>When</w:t>
      </w:r>
      <w:r>
        <w:rPr>
          <w:rFonts w:cstheme="minorHAnsi"/>
          <w:szCs w:val="22"/>
        </w:rPr>
        <w:t xml:space="preserve"> </w:t>
      </w:r>
      <w:r w:rsidRPr="006F7620">
        <w:rPr>
          <w:rFonts w:cstheme="minorHAnsi"/>
          <w:szCs w:val="22"/>
        </w:rPr>
        <w:t>scoring</w:t>
      </w:r>
      <w:r>
        <w:rPr>
          <w:rFonts w:cstheme="minorHAnsi"/>
          <w:szCs w:val="22"/>
        </w:rPr>
        <w:t xml:space="preserve"> </w:t>
      </w:r>
      <w:r w:rsidRPr="006F7620">
        <w:rPr>
          <w:rFonts w:cstheme="minorHAnsi"/>
          <w:szCs w:val="22"/>
        </w:rPr>
        <w:t>or</w:t>
      </w:r>
      <w:r>
        <w:rPr>
          <w:rFonts w:cstheme="minorHAnsi"/>
          <w:szCs w:val="22"/>
        </w:rPr>
        <w:t xml:space="preserve"> </w:t>
      </w:r>
      <w:r w:rsidRPr="006F7620">
        <w:rPr>
          <w:rFonts w:cstheme="minorHAnsi"/>
          <w:szCs w:val="22"/>
        </w:rPr>
        <w:t>evaluating</w:t>
      </w:r>
      <w:r>
        <w:rPr>
          <w:rFonts w:cstheme="minorHAnsi"/>
          <w:szCs w:val="22"/>
        </w:rPr>
        <w:t xml:space="preserve"> </w:t>
      </w:r>
      <w:r w:rsidRPr="006F7620">
        <w:rPr>
          <w:rFonts w:cstheme="minorHAnsi"/>
          <w:szCs w:val="22"/>
        </w:rPr>
        <w:t>bids</w:t>
      </w:r>
      <w:r>
        <w:rPr>
          <w:rFonts w:cstheme="minorHAnsi"/>
          <w:szCs w:val="22"/>
        </w:rPr>
        <w:t xml:space="preserve"> </w:t>
      </w:r>
      <w:r w:rsidRPr="006F7620">
        <w:rPr>
          <w:rFonts w:cstheme="minorHAnsi"/>
          <w:szCs w:val="22"/>
        </w:rPr>
        <w:t xml:space="preserve">for a public works project, </w:t>
      </w:r>
      <w:r>
        <w:rPr>
          <w:rFonts w:cstheme="minorHAnsi"/>
          <w:szCs w:val="22"/>
        </w:rPr>
        <w:t xml:space="preserve">a local government cannot </w:t>
      </w:r>
      <w:r w:rsidRPr="006F7620">
        <w:rPr>
          <w:rFonts w:cstheme="minorHAnsi"/>
          <w:szCs w:val="22"/>
        </w:rPr>
        <w:t xml:space="preserve">penalize a bidder for performing a larger volume of construction work for the </w:t>
      </w:r>
      <w:r>
        <w:rPr>
          <w:rFonts w:cstheme="minorHAnsi"/>
          <w:szCs w:val="22"/>
        </w:rPr>
        <w:t>S</w:t>
      </w:r>
      <w:r w:rsidRPr="006F7620">
        <w:rPr>
          <w:rFonts w:cstheme="minorHAnsi"/>
          <w:szCs w:val="22"/>
        </w:rPr>
        <w:t>tate or political subdivision or reward a bidder for performing a smaller volume of construction work for the state or political subdivision.</w:t>
      </w:r>
    </w:p>
    <w:p w14:paraId="207B28CD" w14:textId="45164700" w:rsidR="00F94D07" w:rsidRDefault="00B44296" w:rsidP="00CC0861">
      <w:pPr>
        <w:spacing w:after="120"/>
        <w:ind w:left="540"/>
      </w:pPr>
      <w:r w:rsidRPr="003E1580">
        <w:t xml:space="preserve">Effective date: </w:t>
      </w:r>
      <w:r w:rsidR="00F94D07">
        <w:t>July 1, 2025</w:t>
      </w:r>
      <w:r w:rsidRPr="003E1580">
        <w:t>.</w:t>
      </w:r>
      <w:bookmarkStart w:id="12" w:name="_Toc161737544"/>
    </w:p>
    <w:p w14:paraId="3A557263" w14:textId="77777777" w:rsidR="00B2390F" w:rsidRPr="00B2390F" w:rsidRDefault="6C6D6F58" w:rsidP="00B2390F">
      <w:pPr>
        <w:pStyle w:val="H2"/>
        <w:spacing w:line="276" w:lineRule="auto"/>
      </w:pPr>
      <w:bookmarkStart w:id="13" w:name="_Toc205981720"/>
      <w:bookmarkEnd w:id="12"/>
      <w:r>
        <w:t>Building Regulations</w:t>
      </w:r>
      <w:bookmarkEnd w:id="13"/>
    </w:p>
    <w:p w14:paraId="3A50798A" w14:textId="0CFCB5E6" w:rsidR="00B44296" w:rsidRPr="00C71059" w:rsidRDefault="00B44296" w:rsidP="00C71059">
      <w:pPr>
        <w:spacing w:after="240" w:line="276" w:lineRule="auto"/>
        <w:ind w:left="540"/>
        <w:jc w:val="both"/>
        <w:rPr>
          <w:rFonts w:cstheme="minorHAnsi"/>
          <w:bCs/>
          <w:szCs w:val="22"/>
        </w:rPr>
      </w:pPr>
      <w:r w:rsidRPr="007162C6">
        <w:rPr>
          <w:rFonts w:cstheme="minorHAnsi"/>
          <w:bCs/>
          <w:szCs w:val="22"/>
        </w:rPr>
        <w:t>Ch. 202</w:t>
      </w:r>
      <w:r w:rsidR="00B43F68" w:rsidRPr="007162C6">
        <w:rPr>
          <w:rFonts w:cstheme="minorHAnsi"/>
          <w:bCs/>
          <w:szCs w:val="22"/>
        </w:rPr>
        <w:t>5</w:t>
      </w:r>
      <w:r w:rsidRPr="007162C6">
        <w:rPr>
          <w:rFonts w:cstheme="minorHAnsi"/>
          <w:bCs/>
          <w:szCs w:val="22"/>
        </w:rPr>
        <w:t>-</w:t>
      </w:r>
      <w:r w:rsidR="00B43F68" w:rsidRPr="007162C6">
        <w:rPr>
          <w:rFonts w:cstheme="minorHAnsi"/>
          <w:bCs/>
          <w:szCs w:val="22"/>
        </w:rPr>
        <w:t>172</w:t>
      </w:r>
      <w:r w:rsidRPr="007162C6">
        <w:rPr>
          <w:rFonts w:cstheme="minorHAnsi"/>
          <w:bCs/>
          <w:szCs w:val="22"/>
        </w:rPr>
        <w:t>, L.O.F., (</w:t>
      </w:r>
      <w:r w:rsidR="00B43F68" w:rsidRPr="007162C6">
        <w:rPr>
          <w:rFonts w:cstheme="minorHAnsi"/>
          <w:bCs/>
          <w:szCs w:val="22"/>
        </w:rPr>
        <w:t>SB 1730</w:t>
      </w:r>
      <w:r w:rsidRPr="007162C6">
        <w:rPr>
          <w:rFonts w:cstheme="minorHAnsi"/>
          <w:bCs/>
          <w:szCs w:val="22"/>
        </w:rPr>
        <w:t xml:space="preserve"> (</w:t>
      </w:r>
      <w:r w:rsidR="00B43F68" w:rsidRPr="007162C6">
        <w:rPr>
          <w:rFonts w:cstheme="minorHAnsi"/>
          <w:bCs/>
          <w:szCs w:val="22"/>
        </w:rPr>
        <w:t>Calatayud</w:t>
      </w:r>
      <w:r w:rsidRPr="007162C6">
        <w:rPr>
          <w:rFonts w:cstheme="minorHAnsi"/>
          <w:bCs/>
          <w:szCs w:val="22"/>
        </w:rPr>
        <w:t xml:space="preserve">)) </w:t>
      </w:r>
      <w:r w:rsidR="00B43F68" w:rsidRPr="007162C6">
        <w:rPr>
          <w:rFonts w:cstheme="minorHAnsi"/>
          <w:bCs/>
          <w:szCs w:val="22"/>
        </w:rPr>
        <w:t>limits building moratoriums to no more than 90 days in a three-year period.  Places limits on local government building permitting provisions.  Requires local governments to pay plaintiff legal costs i</w:t>
      </w:r>
      <w:r w:rsidR="007162C6" w:rsidRPr="007162C6">
        <w:rPr>
          <w:rFonts w:cstheme="minorHAnsi"/>
          <w:bCs/>
          <w:szCs w:val="22"/>
        </w:rPr>
        <w:t>f the plaintiff is successful regarding</w:t>
      </w:r>
      <w:r w:rsidR="00B43F68" w:rsidRPr="007162C6">
        <w:rPr>
          <w:rFonts w:cstheme="minorHAnsi"/>
          <w:bCs/>
          <w:szCs w:val="22"/>
        </w:rPr>
        <w:t xml:space="preserve"> </w:t>
      </w:r>
      <w:r w:rsidR="007162C6" w:rsidRPr="007162C6">
        <w:rPr>
          <w:rFonts w:cstheme="minorHAnsi"/>
          <w:bCs/>
          <w:szCs w:val="22"/>
        </w:rPr>
        <w:t xml:space="preserve">civil challenges to certain development restrictions. </w:t>
      </w:r>
    </w:p>
    <w:p w14:paraId="4C407C0D" w14:textId="7831C139" w:rsidR="006563EE" w:rsidRPr="009D721F" w:rsidRDefault="00B44296" w:rsidP="00CC0861">
      <w:pPr>
        <w:spacing w:after="120" w:line="276" w:lineRule="auto"/>
        <w:ind w:left="540"/>
        <w:jc w:val="both"/>
        <w:rPr>
          <w:rFonts w:cstheme="minorHAnsi"/>
          <w:bCs/>
          <w:szCs w:val="22"/>
        </w:rPr>
      </w:pPr>
      <w:r w:rsidRPr="009D721F">
        <w:rPr>
          <w:rFonts w:cstheme="minorHAnsi"/>
          <w:bCs/>
          <w:szCs w:val="22"/>
        </w:rPr>
        <w:t xml:space="preserve">Effective date: </w:t>
      </w:r>
      <w:r w:rsidR="009D721F" w:rsidRPr="009D721F">
        <w:rPr>
          <w:rFonts w:cstheme="minorHAnsi"/>
          <w:bCs/>
          <w:szCs w:val="22"/>
        </w:rPr>
        <w:t>July 1, 2025</w:t>
      </w:r>
      <w:r w:rsidRPr="009D721F">
        <w:rPr>
          <w:rFonts w:cstheme="minorHAnsi"/>
          <w:bCs/>
          <w:szCs w:val="22"/>
        </w:rPr>
        <w:t xml:space="preserve">. </w:t>
      </w:r>
    </w:p>
    <w:p w14:paraId="0FD7B1C1" w14:textId="77777777" w:rsidR="00B44296" w:rsidRPr="00D86960" w:rsidRDefault="6C6D6F58" w:rsidP="00B44296">
      <w:pPr>
        <w:pStyle w:val="H2"/>
        <w:spacing w:line="276" w:lineRule="auto"/>
      </w:pPr>
      <w:bookmarkStart w:id="14" w:name="_Toc205981721"/>
      <w:r>
        <w:t>Building Regulations</w:t>
      </w:r>
      <w:bookmarkEnd w:id="14"/>
    </w:p>
    <w:p w14:paraId="60CB01A4" w14:textId="41BC9911" w:rsidR="00B44296" w:rsidRPr="00F77617" w:rsidRDefault="00B44296" w:rsidP="00B44296">
      <w:pPr>
        <w:spacing w:line="276" w:lineRule="auto"/>
        <w:ind w:left="540"/>
        <w:jc w:val="both"/>
        <w:rPr>
          <w:rFonts w:cstheme="minorHAnsi"/>
          <w:bCs/>
          <w:szCs w:val="22"/>
          <w:highlight w:val="yellow"/>
        </w:rPr>
      </w:pPr>
      <w:r w:rsidRPr="00D86960">
        <w:rPr>
          <w:rFonts w:cstheme="minorHAnsi"/>
          <w:bCs/>
          <w:szCs w:val="22"/>
        </w:rPr>
        <w:t>Ch. 202</w:t>
      </w:r>
      <w:r w:rsidR="007464B9">
        <w:rPr>
          <w:rFonts w:cstheme="minorHAnsi"/>
          <w:bCs/>
          <w:szCs w:val="22"/>
        </w:rPr>
        <w:t>5</w:t>
      </w:r>
      <w:r w:rsidRPr="00D86960">
        <w:rPr>
          <w:rFonts w:cstheme="minorHAnsi"/>
          <w:bCs/>
          <w:szCs w:val="22"/>
        </w:rPr>
        <w:t>-1</w:t>
      </w:r>
      <w:r w:rsidR="00D86960" w:rsidRPr="00D86960">
        <w:rPr>
          <w:rFonts w:cstheme="minorHAnsi"/>
          <w:bCs/>
          <w:szCs w:val="22"/>
        </w:rPr>
        <w:t>77</w:t>
      </w:r>
      <w:r w:rsidRPr="00D86960">
        <w:rPr>
          <w:rFonts w:cstheme="minorHAnsi"/>
          <w:bCs/>
          <w:szCs w:val="22"/>
        </w:rPr>
        <w:t>, L.O.F., (</w:t>
      </w:r>
      <w:r w:rsidR="00D86960" w:rsidRPr="00D86960">
        <w:rPr>
          <w:rFonts w:cstheme="minorHAnsi"/>
          <w:bCs/>
          <w:szCs w:val="22"/>
        </w:rPr>
        <w:t>S</w:t>
      </w:r>
      <w:r w:rsidRPr="00D86960">
        <w:rPr>
          <w:rFonts w:cstheme="minorHAnsi"/>
          <w:bCs/>
          <w:szCs w:val="22"/>
        </w:rPr>
        <w:t xml:space="preserve">B </w:t>
      </w:r>
      <w:r w:rsidR="00D86960" w:rsidRPr="00D86960">
        <w:rPr>
          <w:rFonts w:cstheme="minorHAnsi"/>
          <w:bCs/>
          <w:szCs w:val="22"/>
        </w:rPr>
        <w:t>1080</w:t>
      </w:r>
      <w:r w:rsidRPr="00D86960">
        <w:rPr>
          <w:rFonts w:cstheme="minorHAnsi"/>
          <w:bCs/>
          <w:szCs w:val="22"/>
        </w:rPr>
        <w:t xml:space="preserve"> (</w:t>
      </w:r>
      <w:r w:rsidR="00D86960" w:rsidRPr="00D86960">
        <w:rPr>
          <w:rFonts w:cstheme="minorHAnsi"/>
          <w:bCs/>
          <w:szCs w:val="22"/>
        </w:rPr>
        <w:t>McClain</w:t>
      </w:r>
      <w:r w:rsidRPr="00D86960">
        <w:rPr>
          <w:rFonts w:cstheme="minorHAnsi"/>
          <w:bCs/>
          <w:szCs w:val="22"/>
        </w:rPr>
        <w:t xml:space="preserve">)) makes several changes that impact </w:t>
      </w:r>
      <w:r w:rsidR="00D86960" w:rsidRPr="00D86960">
        <w:rPr>
          <w:rFonts w:cstheme="minorHAnsi"/>
          <w:bCs/>
          <w:szCs w:val="22"/>
        </w:rPr>
        <w:t>development permits</w:t>
      </w:r>
      <w:r w:rsidRPr="00D86960">
        <w:rPr>
          <w:rFonts w:cstheme="minorHAnsi"/>
          <w:bCs/>
          <w:szCs w:val="22"/>
        </w:rPr>
        <w:t>. Changes impacting local governments include:</w:t>
      </w:r>
    </w:p>
    <w:p w14:paraId="47BE06E7" w14:textId="1AA41932" w:rsidR="00286100" w:rsidRPr="00286100" w:rsidRDefault="00286100" w:rsidP="00B44296">
      <w:pPr>
        <w:pStyle w:val="ListParagraph"/>
        <w:numPr>
          <w:ilvl w:val="0"/>
          <w:numId w:val="6"/>
        </w:numPr>
        <w:spacing w:line="276" w:lineRule="auto"/>
        <w:ind w:left="1267"/>
        <w:jc w:val="both"/>
        <w:rPr>
          <w:rFonts w:cstheme="minorHAnsi"/>
          <w:szCs w:val="22"/>
        </w:rPr>
      </w:pPr>
      <w:r w:rsidRPr="00286100">
        <w:rPr>
          <w:rFonts w:cstheme="minorHAnsi"/>
          <w:szCs w:val="22"/>
        </w:rPr>
        <w:t>Requiring count</w:t>
      </w:r>
      <w:r w:rsidR="00280EE4">
        <w:rPr>
          <w:rFonts w:cstheme="minorHAnsi"/>
          <w:szCs w:val="22"/>
        </w:rPr>
        <w:t xml:space="preserve">ies and municipalities to </w:t>
      </w:r>
      <w:r w:rsidRPr="00286100">
        <w:rPr>
          <w:rFonts w:cstheme="minorHAnsi"/>
          <w:szCs w:val="22"/>
        </w:rPr>
        <w:t>specify in writing all requirements for zoning, rezoning, or zoning variances.</w:t>
      </w:r>
    </w:p>
    <w:p w14:paraId="334CB223" w14:textId="20BED40A" w:rsidR="00286100" w:rsidRPr="00286100" w:rsidRDefault="00286100" w:rsidP="00B44296">
      <w:pPr>
        <w:pStyle w:val="ListParagraph"/>
        <w:numPr>
          <w:ilvl w:val="0"/>
          <w:numId w:val="6"/>
        </w:numPr>
        <w:spacing w:line="276" w:lineRule="auto"/>
        <w:ind w:left="1267"/>
        <w:jc w:val="both"/>
        <w:rPr>
          <w:rFonts w:cstheme="minorHAnsi"/>
          <w:szCs w:val="22"/>
        </w:rPr>
      </w:pPr>
      <w:r w:rsidRPr="00286100">
        <w:rPr>
          <w:rFonts w:cstheme="minorHAnsi"/>
          <w:szCs w:val="22"/>
        </w:rPr>
        <w:t>Requir</w:t>
      </w:r>
      <w:r w:rsidR="00280EE4">
        <w:rPr>
          <w:rFonts w:cstheme="minorHAnsi"/>
          <w:szCs w:val="22"/>
        </w:rPr>
        <w:t>ing</w:t>
      </w:r>
      <w:r w:rsidRPr="00286100">
        <w:rPr>
          <w:rFonts w:cstheme="minorHAnsi"/>
          <w:szCs w:val="22"/>
        </w:rPr>
        <w:t xml:space="preserve"> </w:t>
      </w:r>
      <w:r w:rsidR="00280EE4" w:rsidRPr="00286100">
        <w:rPr>
          <w:rFonts w:cstheme="minorHAnsi"/>
          <w:szCs w:val="22"/>
        </w:rPr>
        <w:t>count</w:t>
      </w:r>
      <w:r w:rsidR="00280EE4">
        <w:rPr>
          <w:rFonts w:cstheme="minorHAnsi"/>
          <w:szCs w:val="22"/>
        </w:rPr>
        <w:t xml:space="preserve">ies and municipalities </w:t>
      </w:r>
      <w:r w:rsidRPr="00286100">
        <w:rPr>
          <w:rFonts w:cstheme="minorHAnsi"/>
          <w:szCs w:val="22"/>
        </w:rPr>
        <w:t>to acknowledge receipt of a development permit or order.</w:t>
      </w:r>
    </w:p>
    <w:p w14:paraId="03BA0877" w14:textId="12E36937" w:rsidR="00286100" w:rsidRPr="00280EE4" w:rsidRDefault="00286100" w:rsidP="00B44296">
      <w:pPr>
        <w:pStyle w:val="ListParagraph"/>
        <w:numPr>
          <w:ilvl w:val="0"/>
          <w:numId w:val="6"/>
        </w:numPr>
        <w:spacing w:line="276" w:lineRule="auto"/>
        <w:ind w:left="1267"/>
        <w:jc w:val="both"/>
        <w:rPr>
          <w:rFonts w:cstheme="minorHAnsi"/>
          <w:szCs w:val="22"/>
        </w:rPr>
      </w:pPr>
      <w:r w:rsidRPr="00286100">
        <w:rPr>
          <w:rFonts w:cstheme="minorHAnsi"/>
          <w:szCs w:val="22"/>
        </w:rPr>
        <w:t xml:space="preserve">For applications that do not require final action through a quasi-judicial or public </w:t>
      </w:r>
      <w:r w:rsidRPr="00280EE4">
        <w:rPr>
          <w:rFonts w:cstheme="minorHAnsi"/>
          <w:szCs w:val="22"/>
        </w:rPr>
        <w:t>hearing, the county must approve, conditionally approve, or deny the application within 120 days (180 days for public hearing or quasi-judicial hearing).</w:t>
      </w:r>
    </w:p>
    <w:p w14:paraId="53AB7D9C" w14:textId="068C8128" w:rsidR="00280EE4" w:rsidRPr="00280EE4" w:rsidRDefault="00286100" w:rsidP="00B44296">
      <w:pPr>
        <w:pStyle w:val="ListParagraph"/>
        <w:numPr>
          <w:ilvl w:val="0"/>
          <w:numId w:val="6"/>
        </w:numPr>
        <w:spacing w:line="276" w:lineRule="auto"/>
        <w:ind w:left="1267"/>
        <w:jc w:val="both"/>
        <w:rPr>
          <w:rFonts w:cstheme="minorHAnsi"/>
          <w:szCs w:val="22"/>
        </w:rPr>
      </w:pPr>
      <w:r w:rsidRPr="00280EE4">
        <w:rPr>
          <w:rFonts w:cstheme="minorHAnsi"/>
          <w:szCs w:val="22"/>
        </w:rPr>
        <w:t>Requir</w:t>
      </w:r>
      <w:r w:rsidR="00280EE4">
        <w:rPr>
          <w:rFonts w:cstheme="minorHAnsi"/>
          <w:szCs w:val="22"/>
        </w:rPr>
        <w:t>ing</w:t>
      </w:r>
      <w:r w:rsidRPr="00280EE4">
        <w:rPr>
          <w:rFonts w:cstheme="minorHAnsi"/>
          <w:szCs w:val="22"/>
        </w:rPr>
        <w:t xml:space="preserve"> counties </w:t>
      </w:r>
      <w:r w:rsidR="00280EE4">
        <w:rPr>
          <w:rFonts w:cstheme="minorHAnsi"/>
          <w:szCs w:val="22"/>
        </w:rPr>
        <w:t xml:space="preserve">and municipalities </w:t>
      </w:r>
      <w:r w:rsidRPr="00280EE4">
        <w:rPr>
          <w:rFonts w:cstheme="minorHAnsi"/>
          <w:szCs w:val="22"/>
        </w:rPr>
        <w:t xml:space="preserve">to issue refunds of amounts ranging from 10 percent to 100 percent of the application fee if the county </w:t>
      </w:r>
      <w:r w:rsidR="00280EE4" w:rsidRPr="00280EE4">
        <w:rPr>
          <w:rFonts w:cstheme="minorHAnsi"/>
          <w:szCs w:val="22"/>
        </w:rPr>
        <w:t>fails to issue a written notification of completeness or written specification of areas of deficiency within certain time frames.</w:t>
      </w:r>
    </w:p>
    <w:p w14:paraId="670AEA2F" w14:textId="3C913A92" w:rsidR="00B44296" w:rsidRPr="00280EE4" w:rsidRDefault="00280EE4" w:rsidP="00B44296">
      <w:pPr>
        <w:pStyle w:val="ListParagraph"/>
        <w:numPr>
          <w:ilvl w:val="0"/>
          <w:numId w:val="6"/>
        </w:numPr>
        <w:spacing w:line="276" w:lineRule="auto"/>
        <w:ind w:left="1267"/>
        <w:jc w:val="both"/>
        <w:rPr>
          <w:rFonts w:cstheme="minorHAnsi"/>
          <w:szCs w:val="22"/>
        </w:rPr>
      </w:pPr>
      <w:r w:rsidRPr="00280EE4">
        <w:rPr>
          <w:rFonts w:cstheme="minorHAnsi"/>
          <w:szCs w:val="22"/>
        </w:rPr>
        <w:t>Requir</w:t>
      </w:r>
      <w:r>
        <w:rPr>
          <w:rFonts w:cstheme="minorHAnsi"/>
          <w:szCs w:val="22"/>
        </w:rPr>
        <w:t>ing</w:t>
      </w:r>
      <w:r w:rsidRPr="00280EE4">
        <w:rPr>
          <w:rFonts w:cstheme="minorHAnsi"/>
          <w:szCs w:val="22"/>
        </w:rPr>
        <w:t xml:space="preserve"> impact fee increases to be implemented in at least </w:t>
      </w:r>
      <w:r w:rsidR="00C20CC9" w:rsidRPr="00280EE4">
        <w:rPr>
          <w:rFonts w:cstheme="minorHAnsi"/>
          <w:szCs w:val="22"/>
        </w:rPr>
        <w:t>two</w:t>
      </w:r>
      <w:r w:rsidRPr="00280EE4">
        <w:rPr>
          <w:rFonts w:cstheme="minorHAnsi"/>
          <w:szCs w:val="22"/>
        </w:rPr>
        <w:t xml:space="preserve">, but not more than </w:t>
      </w:r>
      <w:r w:rsidR="00C20CC9" w:rsidRPr="00280EE4">
        <w:rPr>
          <w:rFonts w:cstheme="minorHAnsi"/>
          <w:szCs w:val="22"/>
        </w:rPr>
        <w:t>four</w:t>
      </w:r>
      <w:r w:rsidRPr="00280EE4">
        <w:rPr>
          <w:rFonts w:cstheme="minorHAnsi"/>
          <w:szCs w:val="22"/>
        </w:rPr>
        <w:t>, equal annual increments.</w:t>
      </w:r>
      <w:r w:rsidR="00B44296" w:rsidRPr="00280EE4">
        <w:rPr>
          <w:rFonts w:cstheme="minorHAnsi"/>
          <w:szCs w:val="22"/>
        </w:rPr>
        <w:t xml:space="preserve"> </w:t>
      </w:r>
      <w:r w:rsidRPr="00280EE4">
        <w:rPr>
          <w:rFonts w:cstheme="minorHAnsi"/>
          <w:szCs w:val="22"/>
        </w:rPr>
        <w:t xml:space="preserve">  A local government may not increase an impact fee rate beyond the phase-in limitations under this paragraph if the local government has not increased the impact fee within the past 5 years. Any year in which the local government is prohibited from increasing an impact fee</w:t>
      </w:r>
      <w:r w:rsidR="00C20CC9">
        <w:rPr>
          <w:rFonts w:cstheme="minorHAnsi"/>
          <w:szCs w:val="22"/>
        </w:rPr>
        <w:t>,</w:t>
      </w:r>
      <w:r w:rsidRPr="00280EE4">
        <w:rPr>
          <w:rFonts w:cstheme="minorHAnsi"/>
          <w:szCs w:val="22"/>
        </w:rPr>
        <w:t xml:space="preserve"> because the jurisdiction is in a hurricane disaster area</w:t>
      </w:r>
      <w:r w:rsidR="00C20CC9">
        <w:rPr>
          <w:rFonts w:cstheme="minorHAnsi"/>
          <w:szCs w:val="22"/>
        </w:rPr>
        <w:t>,</w:t>
      </w:r>
      <w:r w:rsidRPr="00280EE4">
        <w:rPr>
          <w:rFonts w:cstheme="minorHAnsi"/>
          <w:szCs w:val="22"/>
        </w:rPr>
        <w:t xml:space="preserve"> is not included in the 5-year period.</w:t>
      </w:r>
    </w:p>
    <w:p w14:paraId="3B6E0825" w14:textId="56F1F7AE" w:rsidR="00010812" w:rsidRPr="00C71059" w:rsidRDefault="00280EE4" w:rsidP="00C71059">
      <w:pPr>
        <w:pStyle w:val="ListParagraph"/>
        <w:numPr>
          <w:ilvl w:val="0"/>
          <w:numId w:val="6"/>
        </w:numPr>
        <w:spacing w:after="240" w:line="276" w:lineRule="auto"/>
        <w:ind w:left="1267"/>
        <w:jc w:val="both"/>
        <w:rPr>
          <w:rFonts w:cstheme="minorHAnsi"/>
          <w:szCs w:val="22"/>
        </w:rPr>
      </w:pPr>
      <w:r w:rsidRPr="00280EE4">
        <w:rPr>
          <w:rFonts w:cstheme="minorHAnsi"/>
          <w:szCs w:val="22"/>
        </w:rPr>
        <w:t>Comprehensive plan amendments must be adopted within 180 days of the se</w:t>
      </w:r>
      <w:r>
        <w:rPr>
          <w:rFonts w:cstheme="minorHAnsi"/>
          <w:szCs w:val="22"/>
        </w:rPr>
        <w:t>c</w:t>
      </w:r>
      <w:r w:rsidRPr="00280EE4">
        <w:rPr>
          <w:rFonts w:cstheme="minorHAnsi"/>
          <w:szCs w:val="22"/>
        </w:rPr>
        <w:t>on</w:t>
      </w:r>
      <w:r>
        <w:rPr>
          <w:rFonts w:cstheme="minorHAnsi"/>
          <w:szCs w:val="22"/>
        </w:rPr>
        <w:t>d</w:t>
      </w:r>
      <w:r w:rsidRPr="00280EE4">
        <w:rPr>
          <w:rFonts w:cstheme="minorHAnsi"/>
          <w:szCs w:val="22"/>
        </w:rPr>
        <w:t xml:space="preserve"> public hearing or are considered to be admin</w:t>
      </w:r>
      <w:r>
        <w:rPr>
          <w:rFonts w:cstheme="minorHAnsi"/>
          <w:szCs w:val="22"/>
        </w:rPr>
        <w:t>i</w:t>
      </w:r>
      <w:r w:rsidRPr="00280EE4">
        <w:rPr>
          <w:rFonts w:cstheme="minorHAnsi"/>
          <w:szCs w:val="22"/>
        </w:rPr>
        <w:t>s</w:t>
      </w:r>
      <w:r>
        <w:rPr>
          <w:rFonts w:cstheme="minorHAnsi"/>
          <w:szCs w:val="22"/>
        </w:rPr>
        <w:t>t</w:t>
      </w:r>
      <w:r w:rsidRPr="00280EE4">
        <w:rPr>
          <w:rFonts w:cstheme="minorHAnsi"/>
          <w:szCs w:val="22"/>
        </w:rPr>
        <w:t xml:space="preserve">ratively withdrawn. </w:t>
      </w:r>
    </w:p>
    <w:p w14:paraId="381D40C5" w14:textId="6A8136EB" w:rsidR="00010812" w:rsidRPr="007464B9" w:rsidRDefault="00010812" w:rsidP="007464B9">
      <w:pPr>
        <w:spacing w:line="276" w:lineRule="auto"/>
        <w:ind w:firstLine="540"/>
        <w:jc w:val="both"/>
        <w:rPr>
          <w:rFonts w:cstheme="minorHAnsi"/>
          <w:bCs/>
          <w:szCs w:val="22"/>
        </w:rPr>
      </w:pPr>
      <w:r w:rsidRPr="00010812">
        <w:rPr>
          <w:rFonts w:cstheme="minorHAnsi"/>
          <w:bCs/>
          <w:szCs w:val="22"/>
        </w:rPr>
        <w:t>Effective date: October 1, 2025</w:t>
      </w:r>
      <w:r w:rsidR="007464B9">
        <w:rPr>
          <w:rFonts w:cstheme="minorHAnsi"/>
          <w:bCs/>
          <w:szCs w:val="22"/>
        </w:rPr>
        <w:t>,</w:t>
      </w:r>
      <w:r w:rsidR="007464B9" w:rsidRPr="007464B9">
        <w:rPr>
          <w:rFonts w:cstheme="minorHAnsi"/>
          <w:bCs/>
          <w:szCs w:val="22"/>
        </w:rPr>
        <w:t xml:space="preserve"> </w:t>
      </w:r>
      <w:r w:rsidR="007464B9">
        <w:rPr>
          <w:rFonts w:cstheme="minorHAnsi"/>
          <w:bCs/>
          <w:szCs w:val="22"/>
        </w:rPr>
        <w:t>e</w:t>
      </w:r>
      <w:r w:rsidR="007464B9" w:rsidRPr="007464B9">
        <w:rPr>
          <w:rFonts w:cstheme="minorHAnsi"/>
          <w:bCs/>
          <w:szCs w:val="22"/>
        </w:rPr>
        <w:t>xcept as otherwise expressly provided in th</w:t>
      </w:r>
      <w:r w:rsidR="007464B9">
        <w:rPr>
          <w:rFonts w:cstheme="minorHAnsi"/>
          <w:bCs/>
          <w:szCs w:val="22"/>
        </w:rPr>
        <w:t>e bill</w:t>
      </w:r>
      <w:r w:rsidRPr="00010812">
        <w:rPr>
          <w:rFonts w:cstheme="minorHAnsi"/>
          <w:bCs/>
          <w:szCs w:val="22"/>
        </w:rPr>
        <w:t xml:space="preserve">. </w:t>
      </w:r>
    </w:p>
    <w:p w14:paraId="5DC280C2" w14:textId="74EDF730" w:rsidR="00E5525A" w:rsidRPr="00F20918" w:rsidRDefault="6C6D6F58" w:rsidP="00E5525A">
      <w:pPr>
        <w:pStyle w:val="H2"/>
      </w:pPr>
      <w:bookmarkStart w:id="15" w:name="_Toc205981722"/>
      <w:r>
        <w:lastRenderedPageBreak/>
        <w:t>Emergencies</w:t>
      </w:r>
      <w:bookmarkEnd w:id="15"/>
    </w:p>
    <w:p w14:paraId="7BFBD197" w14:textId="19AA45D6" w:rsidR="00E5525A" w:rsidRPr="00F20918" w:rsidRDefault="00E5525A" w:rsidP="00E5525A">
      <w:pPr>
        <w:spacing w:line="276" w:lineRule="auto"/>
        <w:ind w:left="540"/>
        <w:jc w:val="both"/>
        <w:rPr>
          <w:rFonts w:cstheme="minorHAnsi"/>
          <w:bCs/>
          <w:szCs w:val="22"/>
        </w:rPr>
      </w:pPr>
      <w:r w:rsidRPr="00F20918">
        <w:rPr>
          <w:rFonts w:cstheme="minorHAnsi"/>
          <w:bCs/>
          <w:szCs w:val="22"/>
        </w:rPr>
        <w:t>Ch. 202</w:t>
      </w:r>
      <w:r w:rsidR="00F20918" w:rsidRPr="00F20918">
        <w:rPr>
          <w:rFonts w:cstheme="minorHAnsi"/>
          <w:bCs/>
          <w:szCs w:val="22"/>
        </w:rPr>
        <w:t>5</w:t>
      </w:r>
      <w:r w:rsidRPr="00F20918">
        <w:rPr>
          <w:rFonts w:cstheme="minorHAnsi"/>
          <w:bCs/>
          <w:szCs w:val="22"/>
        </w:rPr>
        <w:t>-</w:t>
      </w:r>
      <w:r w:rsidR="00F20918" w:rsidRPr="00F20918">
        <w:rPr>
          <w:rFonts w:cstheme="minorHAnsi"/>
          <w:bCs/>
          <w:szCs w:val="22"/>
        </w:rPr>
        <w:t>190</w:t>
      </w:r>
      <w:r w:rsidRPr="00F20918">
        <w:rPr>
          <w:rFonts w:cstheme="minorHAnsi"/>
          <w:bCs/>
          <w:szCs w:val="22"/>
        </w:rPr>
        <w:t xml:space="preserve"> L.O.F., (</w:t>
      </w:r>
      <w:r w:rsidR="00F20918" w:rsidRPr="00F20918">
        <w:rPr>
          <w:rFonts w:cstheme="minorHAnsi"/>
          <w:bCs/>
          <w:szCs w:val="22"/>
        </w:rPr>
        <w:t>S</w:t>
      </w:r>
      <w:r w:rsidRPr="00F20918">
        <w:rPr>
          <w:rFonts w:cstheme="minorHAnsi"/>
          <w:bCs/>
          <w:szCs w:val="22"/>
        </w:rPr>
        <w:t>B 1</w:t>
      </w:r>
      <w:r w:rsidR="00F20918" w:rsidRPr="00F20918">
        <w:rPr>
          <w:rFonts w:cstheme="minorHAnsi"/>
          <w:bCs/>
          <w:szCs w:val="22"/>
        </w:rPr>
        <w:t>80</w:t>
      </w:r>
      <w:r w:rsidRPr="00F20918">
        <w:rPr>
          <w:rFonts w:cstheme="minorHAnsi"/>
          <w:bCs/>
          <w:szCs w:val="22"/>
        </w:rPr>
        <w:t xml:space="preserve"> </w:t>
      </w:r>
      <w:r w:rsidR="0018459C" w:rsidRPr="00F20918">
        <w:rPr>
          <w:rFonts w:cstheme="minorHAnsi"/>
          <w:bCs/>
          <w:szCs w:val="22"/>
        </w:rPr>
        <w:t>(</w:t>
      </w:r>
      <w:hyperlink r:id="rId12" w:history="1">
        <w:r w:rsidR="00F20918" w:rsidRPr="00F20918">
          <w:rPr>
            <w:rFonts w:eastAsiaTheme="majorEastAsia"/>
          </w:rPr>
          <w:t>DiCeglie</w:t>
        </w:r>
      </w:hyperlink>
      <w:r w:rsidRPr="00F20918">
        <w:rPr>
          <w:rFonts w:cstheme="minorHAnsi"/>
          <w:bCs/>
          <w:szCs w:val="22"/>
        </w:rPr>
        <w:t>))</w:t>
      </w:r>
      <w:r w:rsidR="00F20918">
        <w:rPr>
          <w:rFonts w:cstheme="minorHAnsi"/>
          <w:bCs/>
          <w:szCs w:val="22"/>
        </w:rPr>
        <w:t xml:space="preserve"> implements several disaster provisions, as follows:</w:t>
      </w:r>
      <w:r w:rsidRPr="00F20918">
        <w:rPr>
          <w:rFonts w:cstheme="minorHAnsi"/>
          <w:bCs/>
          <w:szCs w:val="22"/>
        </w:rPr>
        <w:t xml:space="preserve"> </w:t>
      </w:r>
    </w:p>
    <w:p w14:paraId="5CE60F8C" w14:textId="6C614465" w:rsidR="00F20918" w:rsidRDefault="00F20918" w:rsidP="00F20918">
      <w:pPr>
        <w:pStyle w:val="ListParagraph"/>
        <w:numPr>
          <w:ilvl w:val="0"/>
          <w:numId w:val="6"/>
        </w:numPr>
        <w:spacing w:after="160" w:line="276" w:lineRule="auto"/>
        <w:ind w:left="1267"/>
        <w:jc w:val="both"/>
        <w:rPr>
          <w:rFonts w:cstheme="minorHAnsi"/>
          <w:szCs w:val="22"/>
        </w:rPr>
      </w:pPr>
      <w:r w:rsidRPr="00F20918">
        <w:rPr>
          <w:rFonts w:cstheme="minorHAnsi"/>
          <w:szCs w:val="22"/>
        </w:rPr>
        <w:t>A local government, school district, or special district may not assess an impact fee for the reconstruction or replacement of a previously existing structure if the replacement structure is of the same land use as the original structure and does not increase the impact on public facilities beyond that of the original structure. However, if the replacement structure increases the demand on public facilities due to a significant increase in size, intensity, or capacity of use, a local government, school district, or special district may assess an impact fee in an amount proportional to the difference in the demand between the replacement structure and the original structure. Any such fee must be reasonably connected to, or have a rational nexus with, the need for additional capital facilities and the increased impact generated by the reconstruction or replacement of a previously existing structure.</w:t>
      </w:r>
    </w:p>
    <w:p w14:paraId="5E99059F" w14:textId="2A80D8B8" w:rsidR="00056649" w:rsidRDefault="00056649" w:rsidP="00F20918">
      <w:pPr>
        <w:pStyle w:val="ListParagraph"/>
        <w:numPr>
          <w:ilvl w:val="0"/>
          <w:numId w:val="6"/>
        </w:numPr>
        <w:spacing w:after="160" w:line="276" w:lineRule="auto"/>
        <w:ind w:left="1267"/>
        <w:jc w:val="both"/>
        <w:rPr>
          <w:rFonts w:cstheme="minorHAnsi"/>
          <w:szCs w:val="22"/>
        </w:rPr>
      </w:pPr>
      <w:r w:rsidRPr="00056649">
        <w:rPr>
          <w:rFonts w:cstheme="minorHAnsi"/>
          <w:szCs w:val="22"/>
        </w:rPr>
        <w:t>Each</w:t>
      </w:r>
      <w:r>
        <w:rPr>
          <w:rFonts w:cstheme="minorHAnsi"/>
          <w:szCs w:val="22"/>
        </w:rPr>
        <w:t xml:space="preserve"> </w:t>
      </w:r>
      <w:r w:rsidRPr="00056649">
        <w:rPr>
          <w:rFonts w:cstheme="minorHAnsi"/>
          <w:szCs w:val="22"/>
        </w:rPr>
        <w:t xml:space="preserve">political subdivision shall notify the </w:t>
      </w:r>
      <w:r>
        <w:rPr>
          <w:rFonts w:cstheme="minorHAnsi"/>
          <w:szCs w:val="22"/>
        </w:rPr>
        <w:t>Florida D</w:t>
      </w:r>
      <w:r w:rsidRPr="00056649">
        <w:rPr>
          <w:rFonts w:cstheme="minorHAnsi"/>
          <w:szCs w:val="22"/>
        </w:rPr>
        <w:t xml:space="preserve">ivision </w:t>
      </w:r>
      <w:r>
        <w:rPr>
          <w:rFonts w:cstheme="minorHAnsi"/>
          <w:szCs w:val="22"/>
        </w:rPr>
        <w:t xml:space="preserve">of Emergency Management, </w:t>
      </w:r>
      <w:r w:rsidRPr="00056649">
        <w:rPr>
          <w:rFonts w:cstheme="minorHAnsi"/>
          <w:szCs w:val="22"/>
        </w:rPr>
        <w:t>on or before May 1 each year</w:t>
      </w:r>
      <w:r>
        <w:rPr>
          <w:rFonts w:cstheme="minorHAnsi"/>
          <w:szCs w:val="22"/>
        </w:rPr>
        <w:t>,</w:t>
      </w:r>
      <w:r w:rsidRPr="00056649">
        <w:rPr>
          <w:rFonts w:cstheme="minorHAnsi"/>
          <w:szCs w:val="22"/>
        </w:rPr>
        <w:t xml:space="preserve"> of the person designated as the emergency contact for the political subdivision and his or her alternate and of any changes in persons </w:t>
      </w:r>
      <w:r w:rsidR="00C20CC9" w:rsidRPr="00056649">
        <w:rPr>
          <w:rFonts w:cstheme="minorHAnsi"/>
          <w:szCs w:val="22"/>
        </w:rPr>
        <w:t>so designated</w:t>
      </w:r>
      <w:r w:rsidRPr="00056649">
        <w:rPr>
          <w:rFonts w:cstheme="minorHAnsi"/>
          <w:szCs w:val="22"/>
        </w:rPr>
        <w:t xml:space="preserve"> thereafter. For a county, the emergency contact must be the county emergency management director.</w:t>
      </w:r>
    </w:p>
    <w:p w14:paraId="40E36708" w14:textId="77777777" w:rsidR="00056649" w:rsidRDefault="00056649" w:rsidP="00F20918">
      <w:pPr>
        <w:pStyle w:val="ListParagraph"/>
        <w:numPr>
          <w:ilvl w:val="0"/>
          <w:numId w:val="6"/>
        </w:numPr>
        <w:spacing w:after="160" w:line="276" w:lineRule="auto"/>
        <w:ind w:left="1267"/>
        <w:jc w:val="both"/>
        <w:rPr>
          <w:rFonts w:cstheme="minorHAnsi"/>
          <w:szCs w:val="22"/>
        </w:rPr>
      </w:pPr>
      <w:r w:rsidRPr="00056649">
        <w:rPr>
          <w:rFonts w:cstheme="minorHAnsi"/>
          <w:szCs w:val="22"/>
        </w:rPr>
        <w:t xml:space="preserve">Each county and municipality must post on its publicly accessible website: </w:t>
      </w:r>
    </w:p>
    <w:p w14:paraId="30FEE5DA" w14:textId="37752FF1"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A</w:t>
      </w:r>
      <w:r>
        <w:rPr>
          <w:rFonts w:cstheme="minorHAnsi"/>
          <w:szCs w:val="22"/>
        </w:rPr>
        <w:t xml:space="preserve"> </w:t>
      </w:r>
      <w:r w:rsidRPr="00056649">
        <w:rPr>
          <w:rFonts w:cstheme="minorHAnsi"/>
          <w:szCs w:val="22"/>
        </w:rPr>
        <w:t xml:space="preserve">frequently asked questions web page related to natural emergency response, emergency preparedness, and public relief for residents following an emergency. The web page must answer questions concerning resident evacuations; safety tips; generator, food and drinking water, and </w:t>
      </w:r>
      <w:r w:rsidR="00313048" w:rsidRPr="00056649">
        <w:rPr>
          <w:rFonts w:cstheme="minorHAnsi"/>
          <w:szCs w:val="22"/>
        </w:rPr>
        <w:t>wastewater</w:t>
      </w:r>
      <w:r>
        <w:rPr>
          <w:rFonts w:cstheme="minorHAnsi"/>
          <w:szCs w:val="22"/>
        </w:rPr>
        <w:t xml:space="preserve"> </w:t>
      </w:r>
      <w:r w:rsidRPr="00056649">
        <w:rPr>
          <w:rFonts w:cstheme="minorHAnsi"/>
          <w:szCs w:val="22"/>
        </w:rPr>
        <w:t>and</w:t>
      </w:r>
      <w:r>
        <w:rPr>
          <w:rFonts w:cstheme="minorHAnsi"/>
          <w:szCs w:val="22"/>
        </w:rPr>
        <w:t xml:space="preserve"> </w:t>
      </w:r>
      <w:r w:rsidRPr="00056649">
        <w:rPr>
          <w:rFonts w:cstheme="minorHAnsi"/>
          <w:szCs w:val="22"/>
        </w:rPr>
        <w:t>storm</w:t>
      </w:r>
      <w:r>
        <w:rPr>
          <w:rFonts w:cstheme="minorHAnsi"/>
          <w:szCs w:val="22"/>
        </w:rPr>
        <w:t xml:space="preserve"> </w:t>
      </w:r>
      <w:r w:rsidRPr="00056649">
        <w:rPr>
          <w:rFonts w:cstheme="minorHAnsi"/>
          <w:szCs w:val="22"/>
        </w:rPr>
        <w:t>water</w:t>
      </w:r>
      <w:r>
        <w:rPr>
          <w:rFonts w:cstheme="minorHAnsi"/>
          <w:szCs w:val="22"/>
        </w:rPr>
        <w:t xml:space="preserve"> </w:t>
      </w:r>
      <w:r w:rsidRPr="00056649">
        <w:rPr>
          <w:rFonts w:cstheme="minorHAnsi"/>
          <w:szCs w:val="22"/>
        </w:rPr>
        <w:t>safety;</w:t>
      </w:r>
      <w:r>
        <w:rPr>
          <w:rFonts w:cstheme="minorHAnsi"/>
          <w:szCs w:val="22"/>
        </w:rPr>
        <w:t xml:space="preserve"> </w:t>
      </w:r>
      <w:r w:rsidRPr="00056649">
        <w:rPr>
          <w:rFonts w:cstheme="minorHAnsi"/>
          <w:szCs w:val="22"/>
        </w:rPr>
        <w:t>damage</w:t>
      </w:r>
      <w:r>
        <w:rPr>
          <w:rFonts w:cstheme="minorHAnsi"/>
          <w:szCs w:val="22"/>
        </w:rPr>
        <w:t xml:space="preserve"> </w:t>
      </w:r>
      <w:r w:rsidRPr="00056649">
        <w:rPr>
          <w:rFonts w:cstheme="minorHAnsi"/>
          <w:szCs w:val="22"/>
        </w:rPr>
        <w:t>assessment;</w:t>
      </w:r>
      <w:r>
        <w:rPr>
          <w:rFonts w:cstheme="minorHAnsi"/>
          <w:szCs w:val="22"/>
        </w:rPr>
        <w:t xml:space="preserve"> </w:t>
      </w:r>
      <w:r w:rsidRPr="00056649">
        <w:rPr>
          <w:rFonts w:cstheme="minorHAnsi"/>
          <w:szCs w:val="22"/>
        </w:rPr>
        <w:t>debris</w:t>
      </w:r>
      <w:r>
        <w:rPr>
          <w:rFonts w:cstheme="minorHAnsi"/>
          <w:szCs w:val="22"/>
        </w:rPr>
        <w:t xml:space="preserve"> </w:t>
      </w:r>
      <w:r w:rsidRPr="00056649">
        <w:rPr>
          <w:rFonts w:cstheme="minorHAnsi"/>
          <w:szCs w:val="22"/>
        </w:rPr>
        <w:t>cleanup;</w:t>
      </w:r>
      <w:r>
        <w:rPr>
          <w:rFonts w:cstheme="minorHAnsi"/>
          <w:szCs w:val="22"/>
        </w:rPr>
        <w:t xml:space="preserve"> </w:t>
      </w:r>
      <w:r w:rsidRPr="00056649">
        <w:rPr>
          <w:rFonts w:cstheme="minorHAnsi"/>
          <w:szCs w:val="22"/>
        </w:rPr>
        <w:t xml:space="preserve">accessing assistance through the Federal Emergency Management Agency and this state; building recovery; natural emergency guidance; applicable laws; and what to do before, during, and after an emergency. </w:t>
      </w:r>
    </w:p>
    <w:p w14:paraId="5D671A95" w14:textId="520B7E6A"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 xml:space="preserve">A disaster supply list and a list of emergency shelters. </w:t>
      </w:r>
    </w:p>
    <w:p w14:paraId="22D4729E" w14:textId="77777777"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 xml:space="preserve">Links to information about flood zones. </w:t>
      </w:r>
    </w:p>
    <w:p w14:paraId="1DBC8F96" w14:textId="77777777"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A checklist for residents explaining next steps to take during post</w:t>
      </w:r>
      <w:r>
        <w:rPr>
          <w:rFonts w:cstheme="minorHAnsi"/>
          <w:szCs w:val="22"/>
        </w:rPr>
        <w:t xml:space="preserve"> </w:t>
      </w:r>
      <w:r w:rsidRPr="00056649">
        <w:rPr>
          <w:rFonts w:cstheme="minorHAnsi"/>
          <w:szCs w:val="22"/>
        </w:rPr>
        <w:t xml:space="preserve">disaster recovery. </w:t>
      </w:r>
      <w:r>
        <w:rPr>
          <w:rFonts w:cstheme="minorHAnsi"/>
          <w:szCs w:val="22"/>
        </w:rPr>
        <w:t xml:space="preserve"> </w:t>
      </w:r>
    </w:p>
    <w:p w14:paraId="65643F0C" w14:textId="1760C09B"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Information specific to persons with disabilities, including, but not limited to, guidelines for special needs shelter registration; an explanation of howtoregisterforspecialneedssheltersandwheretoobtainassistancewith that process; guidelines as to the level of care that is or is not provided at a special needs shelter as well as situations when either a general population shelter or hospital should be considered; and any other post</w:t>
      </w:r>
      <w:r>
        <w:rPr>
          <w:rFonts w:cstheme="minorHAnsi"/>
          <w:szCs w:val="22"/>
        </w:rPr>
        <w:t xml:space="preserve"> </w:t>
      </w:r>
      <w:r w:rsidRPr="00056649">
        <w:rPr>
          <w:rFonts w:cstheme="minorHAnsi"/>
          <w:szCs w:val="22"/>
        </w:rPr>
        <w:t>disaster assistance or resources available to affected persons with disabilities impacted by a disaster.</w:t>
      </w:r>
    </w:p>
    <w:p w14:paraId="0D912C99" w14:textId="25BD0718" w:rsidR="00056649" w:rsidRDefault="00056649" w:rsidP="00F20918">
      <w:pPr>
        <w:pStyle w:val="ListParagraph"/>
        <w:numPr>
          <w:ilvl w:val="0"/>
          <w:numId w:val="6"/>
        </w:numPr>
        <w:spacing w:after="160" w:line="276" w:lineRule="auto"/>
        <w:ind w:left="1267"/>
        <w:jc w:val="both"/>
        <w:rPr>
          <w:rFonts w:cstheme="minorHAnsi"/>
          <w:szCs w:val="22"/>
        </w:rPr>
      </w:pPr>
      <w:r w:rsidRPr="00056649">
        <w:rPr>
          <w:rFonts w:cstheme="minorHAnsi"/>
          <w:szCs w:val="22"/>
        </w:rPr>
        <w:t>Each county and municipality shall develop a post</w:t>
      </w:r>
      <w:r>
        <w:rPr>
          <w:rFonts w:cstheme="minorHAnsi"/>
          <w:szCs w:val="22"/>
        </w:rPr>
        <w:t xml:space="preserve"> </w:t>
      </w:r>
      <w:r w:rsidRPr="00056649">
        <w:rPr>
          <w:rFonts w:cstheme="minorHAnsi"/>
          <w:szCs w:val="22"/>
        </w:rPr>
        <w:t xml:space="preserve">storm permitting plan to expedite recovery and rebuilding by providing for special building permit and inspection procedures after a hurricane or tropical storm. The plan must, at a minimum: </w:t>
      </w:r>
    </w:p>
    <w:p w14:paraId="2F30AEAE" w14:textId="0C815BF8"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lastRenderedPageBreak/>
        <w:t>Ensure sufficient personnel are prepared and available to expeditiously manage post</w:t>
      </w:r>
      <w:r>
        <w:rPr>
          <w:rFonts w:cstheme="minorHAnsi"/>
          <w:szCs w:val="22"/>
        </w:rPr>
        <w:t xml:space="preserve"> </w:t>
      </w:r>
      <w:r w:rsidRPr="00056649">
        <w:rPr>
          <w:rFonts w:cstheme="minorHAnsi"/>
          <w:szCs w:val="22"/>
        </w:rPr>
        <w:t xml:space="preserve">disaster building inspection, permitting, and enforcement tasks. The plan must anticipate conditions that would necessitate supplemental personnel for such tasks and address methods for fulfilling such personnel needs, including through mutual aid agreements as authorized in s. 252.40, other arrangements, such as those with private sector contractors, or supplemental state or federal funding. The plan must include training requirements and protocols for supplemental personnel to ensure compliance with local floodplain management requirements that apply within the county or municipality. </w:t>
      </w:r>
    </w:p>
    <w:p w14:paraId="6AF647C1" w14:textId="4B8BE36F"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 xml:space="preserve">Account for multiple or alternate locations where building permit services may be offered in person to the public following a hurricane or tropical storm during regular business hours. </w:t>
      </w:r>
    </w:p>
    <w:p w14:paraId="6289EF14" w14:textId="5FC5F5B0"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 xml:space="preserve">Specify a protocol to expedite permitting procedures and, if practicable, for the waiver or reduction of applicable fees in accordance with and in addition to the procedures and waivers provided for under s. 553.7922. The plan must identify the types of permits that are frequently requested following a hurricane or tropical storm and methods to expedite the processing of such permits. </w:t>
      </w:r>
    </w:p>
    <w:p w14:paraId="585F26BD" w14:textId="25FA21AD"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 xml:space="preserve">Specify procedures and resources necessary to promote expeditious debris removal following a hurricane or tropical storm. </w:t>
      </w:r>
    </w:p>
    <w:p w14:paraId="4293E1D3" w14:textId="184634AA" w:rsidR="00056649" w:rsidRDefault="00056649" w:rsidP="00F20918">
      <w:pPr>
        <w:pStyle w:val="ListParagraph"/>
        <w:numPr>
          <w:ilvl w:val="0"/>
          <w:numId w:val="6"/>
        </w:numPr>
        <w:spacing w:after="160" w:line="276" w:lineRule="auto"/>
        <w:ind w:left="1267"/>
        <w:jc w:val="both"/>
        <w:rPr>
          <w:rFonts w:cstheme="minorHAnsi"/>
          <w:szCs w:val="22"/>
        </w:rPr>
      </w:pPr>
      <w:r w:rsidRPr="00056649">
        <w:rPr>
          <w:rFonts w:cstheme="minorHAnsi"/>
          <w:szCs w:val="22"/>
        </w:rPr>
        <w:t>Each county and municipality shall update the plan no later than May 1 annually.</w:t>
      </w:r>
    </w:p>
    <w:p w14:paraId="68496C5B" w14:textId="77777777" w:rsidR="00056649" w:rsidRDefault="00056649" w:rsidP="00F20918">
      <w:pPr>
        <w:pStyle w:val="ListParagraph"/>
        <w:numPr>
          <w:ilvl w:val="0"/>
          <w:numId w:val="6"/>
        </w:numPr>
        <w:spacing w:after="160" w:line="276" w:lineRule="auto"/>
        <w:ind w:left="1267"/>
        <w:jc w:val="both"/>
        <w:rPr>
          <w:rFonts w:cstheme="minorHAnsi"/>
          <w:szCs w:val="22"/>
        </w:rPr>
      </w:pPr>
      <w:r w:rsidRPr="00056649">
        <w:rPr>
          <w:rFonts w:cstheme="minorHAnsi"/>
          <w:szCs w:val="22"/>
        </w:rPr>
        <w:t>By May1</w:t>
      </w:r>
      <w:r>
        <w:rPr>
          <w:rFonts w:cstheme="minorHAnsi"/>
          <w:szCs w:val="22"/>
        </w:rPr>
        <w:t xml:space="preserve"> </w:t>
      </w:r>
      <w:r w:rsidRPr="00056649">
        <w:rPr>
          <w:rFonts w:cstheme="minorHAnsi"/>
          <w:szCs w:val="22"/>
        </w:rPr>
        <w:t xml:space="preserve">annually, each county and municipality shall publish on its website a hurricane and tropical storm recovery permitting guide for residential and commercial property owners. The guide must describe: </w:t>
      </w:r>
    </w:p>
    <w:p w14:paraId="0DEE31D7" w14:textId="3AFBD912"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 xml:space="preserve"> The types of post</w:t>
      </w:r>
      <w:r>
        <w:rPr>
          <w:rFonts w:cstheme="minorHAnsi"/>
          <w:szCs w:val="22"/>
        </w:rPr>
        <w:t xml:space="preserve"> </w:t>
      </w:r>
      <w:r w:rsidRPr="00056649">
        <w:rPr>
          <w:rFonts w:cstheme="minorHAnsi"/>
          <w:szCs w:val="22"/>
        </w:rPr>
        <w:t xml:space="preserve">storm repairs that require a permit and applicable fees. </w:t>
      </w:r>
    </w:p>
    <w:p w14:paraId="7D01E961" w14:textId="7E7E87C7"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The types of post</w:t>
      </w:r>
      <w:r>
        <w:rPr>
          <w:rFonts w:cstheme="minorHAnsi"/>
          <w:szCs w:val="22"/>
        </w:rPr>
        <w:t xml:space="preserve"> </w:t>
      </w:r>
      <w:r w:rsidRPr="00056649">
        <w:rPr>
          <w:rFonts w:cstheme="minorHAnsi"/>
          <w:szCs w:val="22"/>
        </w:rPr>
        <w:t xml:space="preserve">storm repairs that do not require a permit. </w:t>
      </w:r>
    </w:p>
    <w:p w14:paraId="655803DD" w14:textId="60B96F4A"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The post</w:t>
      </w:r>
      <w:r>
        <w:rPr>
          <w:rFonts w:cstheme="minorHAnsi"/>
          <w:szCs w:val="22"/>
        </w:rPr>
        <w:t xml:space="preserve"> </w:t>
      </w:r>
      <w:r w:rsidRPr="00056649">
        <w:rPr>
          <w:rFonts w:cstheme="minorHAnsi"/>
          <w:szCs w:val="22"/>
        </w:rPr>
        <w:t xml:space="preserve">storm permit application process and specific modifications the county or municipality commonly makes to expedite the process, including the physical locations where permitting services will be offered. </w:t>
      </w:r>
    </w:p>
    <w:p w14:paraId="4A0F8D45" w14:textId="69C60A9A" w:rsidR="00056649" w:rsidRDefault="00056649" w:rsidP="00056649">
      <w:pPr>
        <w:pStyle w:val="ListParagraph"/>
        <w:numPr>
          <w:ilvl w:val="1"/>
          <w:numId w:val="6"/>
        </w:numPr>
        <w:spacing w:after="160" w:line="276" w:lineRule="auto"/>
        <w:jc w:val="both"/>
        <w:rPr>
          <w:rFonts w:cstheme="minorHAnsi"/>
          <w:szCs w:val="22"/>
        </w:rPr>
      </w:pPr>
      <w:r w:rsidRPr="00056649">
        <w:rPr>
          <w:rFonts w:cstheme="minorHAnsi"/>
          <w:szCs w:val="22"/>
        </w:rPr>
        <w:t xml:space="preserve">Local requirements for rebuilding specific to the county or municipality, including elevation requirements following substantial damage and substantial improvement pursuant to the National Flood Insurance Program (NFIP) and any local amendments to the building code. </w:t>
      </w:r>
    </w:p>
    <w:p w14:paraId="0E10A011" w14:textId="3AB3B0E2" w:rsidR="00056649" w:rsidRDefault="00056649" w:rsidP="00F20918">
      <w:pPr>
        <w:pStyle w:val="ListParagraph"/>
        <w:numPr>
          <w:ilvl w:val="0"/>
          <w:numId w:val="6"/>
        </w:numPr>
        <w:spacing w:after="160" w:line="276" w:lineRule="auto"/>
        <w:ind w:left="1267"/>
        <w:jc w:val="both"/>
        <w:rPr>
          <w:rFonts w:cstheme="minorHAnsi"/>
          <w:szCs w:val="22"/>
        </w:rPr>
      </w:pPr>
      <w:r w:rsidRPr="00056649">
        <w:rPr>
          <w:rFonts w:cstheme="minorHAnsi"/>
          <w:szCs w:val="22"/>
        </w:rPr>
        <w:t xml:space="preserve">As soon as practicable following a hurricane or tropical storm, a county or municipality within the area for which a state of emergency pursuant to s. 252.36 for such hurricane or tropical storm is declared shall publish updates on its website to the information required under </w:t>
      </w:r>
      <w:r>
        <w:rPr>
          <w:rFonts w:cstheme="minorHAnsi"/>
          <w:szCs w:val="22"/>
        </w:rPr>
        <w:t>s.252.381(3)</w:t>
      </w:r>
      <w:r w:rsidRPr="00056649">
        <w:rPr>
          <w:rFonts w:cstheme="minorHAnsi"/>
          <w:szCs w:val="22"/>
        </w:rPr>
        <w:t xml:space="preserve">(a) which are specific to such storm, including any permitting fee waivers or reductions. </w:t>
      </w:r>
    </w:p>
    <w:p w14:paraId="2F8E51EC" w14:textId="77777777" w:rsidR="00056649" w:rsidRDefault="00056649" w:rsidP="00F20918">
      <w:pPr>
        <w:pStyle w:val="ListParagraph"/>
        <w:numPr>
          <w:ilvl w:val="0"/>
          <w:numId w:val="6"/>
        </w:numPr>
        <w:spacing w:after="160" w:line="276" w:lineRule="auto"/>
        <w:ind w:left="1267"/>
        <w:jc w:val="both"/>
        <w:rPr>
          <w:rFonts w:cstheme="minorHAnsi"/>
          <w:szCs w:val="22"/>
        </w:rPr>
      </w:pPr>
      <w:r w:rsidRPr="00056649">
        <w:rPr>
          <w:rFonts w:cstheme="minorHAnsi"/>
          <w:szCs w:val="22"/>
        </w:rPr>
        <w:t xml:space="preserve">For 180 days after a state of emergency is declared pursuant to s. 252.36 for a hurricane or tropical storm, a county or municipality within the area for which the state of emergency is declared may not increase building permit or inspection fees. </w:t>
      </w:r>
    </w:p>
    <w:p w14:paraId="5D31116F" w14:textId="3655050D" w:rsidR="00056649" w:rsidRDefault="00056649" w:rsidP="00F20918">
      <w:pPr>
        <w:pStyle w:val="ListParagraph"/>
        <w:numPr>
          <w:ilvl w:val="0"/>
          <w:numId w:val="6"/>
        </w:numPr>
        <w:spacing w:after="160" w:line="276" w:lineRule="auto"/>
        <w:ind w:left="1267"/>
        <w:jc w:val="both"/>
        <w:rPr>
          <w:rFonts w:cstheme="minorHAnsi"/>
          <w:szCs w:val="22"/>
        </w:rPr>
      </w:pPr>
      <w:r w:rsidRPr="00056649">
        <w:rPr>
          <w:rFonts w:cstheme="minorHAnsi"/>
          <w:szCs w:val="22"/>
        </w:rPr>
        <w:lastRenderedPageBreak/>
        <w:t>On</w:t>
      </w:r>
      <w:r>
        <w:rPr>
          <w:rFonts w:cstheme="minorHAnsi"/>
          <w:szCs w:val="22"/>
        </w:rPr>
        <w:t xml:space="preserve"> </w:t>
      </w:r>
      <w:r w:rsidRPr="00056649">
        <w:rPr>
          <w:rFonts w:cstheme="minorHAnsi"/>
          <w:szCs w:val="22"/>
        </w:rPr>
        <w:t>or</w:t>
      </w:r>
      <w:r>
        <w:rPr>
          <w:rFonts w:cstheme="minorHAnsi"/>
          <w:szCs w:val="22"/>
        </w:rPr>
        <w:t xml:space="preserve"> </w:t>
      </w:r>
      <w:r w:rsidRPr="00056649">
        <w:rPr>
          <w:rFonts w:cstheme="minorHAnsi"/>
          <w:szCs w:val="22"/>
        </w:rPr>
        <w:t>before</w:t>
      </w:r>
      <w:r>
        <w:rPr>
          <w:rFonts w:cstheme="minorHAnsi"/>
          <w:szCs w:val="22"/>
        </w:rPr>
        <w:t xml:space="preserve"> </w:t>
      </w:r>
      <w:r w:rsidRPr="00056649">
        <w:rPr>
          <w:rFonts w:cstheme="minorHAnsi"/>
          <w:szCs w:val="22"/>
        </w:rPr>
        <w:t>May1,</w:t>
      </w:r>
      <w:r w:rsidR="00C20CC9">
        <w:rPr>
          <w:rFonts w:cstheme="minorHAnsi"/>
          <w:szCs w:val="22"/>
        </w:rPr>
        <w:t xml:space="preserve"> </w:t>
      </w:r>
      <w:r w:rsidRPr="00056649">
        <w:rPr>
          <w:rFonts w:cstheme="minorHAnsi"/>
          <w:szCs w:val="22"/>
        </w:rPr>
        <w:t>2026,</w:t>
      </w:r>
      <w:r>
        <w:rPr>
          <w:rFonts w:cstheme="minorHAnsi"/>
          <w:szCs w:val="22"/>
        </w:rPr>
        <w:t xml:space="preserve"> </w:t>
      </w:r>
      <w:r w:rsidRPr="00056649">
        <w:rPr>
          <w:rFonts w:cstheme="minorHAnsi"/>
          <w:szCs w:val="22"/>
        </w:rPr>
        <w:t>each</w:t>
      </w:r>
      <w:r>
        <w:rPr>
          <w:rFonts w:cstheme="minorHAnsi"/>
          <w:szCs w:val="22"/>
        </w:rPr>
        <w:t xml:space="preserve"> </w:t>
      </w:r>
      <w:r w:rsidRPr="00056649">
        <w:rPr>
          <w:rFonts w:cstheme="minorHAnsi"/>
          <w:szCs w:val="22"/>
        </w:rPr>
        <w:t>county</w:t>
      </w:r>
      <w:r>
        <w:rPr>
          <w:rFonts w:cstheme="minorHAnsi"/>
          <w:szCs w:val="22"/>
        </w:rPr>
        <w:t xml:space="preserve"> </w:t>
      </w:r>
      <w:r w:rsidRPr="00056649">
        <w:rPr>
          <w:rFonts w:cstheme="minorHAnsi"/>
          <w:szCs w:val="22"/>
        </w:rPr>
        <w:t>and</w:t>
      </w:r>
      <w:r>
        <w:rPr>
          <w:rFonts w:cstheme="minorHAnsi"/>
          <w:szCs w:val="22"/>
        </w:rPr>
        <w:t xml:space="preserve"> </w:t>
      </w:r>
      <w:r w:rsidRPr="00056649">
        <w:rPr>
          <w:rFonts w:cstheme="minorHAnsi"/>
          <w:szCs w:val="22"/>
        </w:rPr>
        <w:t>municipality</w:t>
      </w:r>
      <w:r>
        <w:rPr>
          <w:rFonts w:cstheme="minorHAnsi"/>
          <w:szCs w:val="22"/>
        </w:rPr>
        <w:t xml:space="preserve"> </w:t>
      </w:r>
      <w:r w:rsidRPr="00056649">
        <w:rPr>
          <w:rFonts w:cstheme="minorHAnsi"/>
          <w:szCs w:val="22"/>
        </w:rPr>
        <w:t>must</w:t>
      </w:r>
      <w:r>
        <w:rPr>
          <w:rFonts w:cstheme="minorHAnsi"/>
          <w:szCs w:val="22"/>
        </w:rPr>
        <w:t xml:space="preserve"> </w:t>
      </w:r>
      <w:r w:rsidRPr="00056649">
        <w:rPr>
          <w:rFonts w:cstheme="minorHAnsi"/>
          <w:szCs w:val="22"/>
        </w:rPr>
        <w:t>provide an online option for receiving, reviewing, and accessing substantial damage and</w:t>
      </w:r>
      <w:r>
        <w:rPr>
          <w:rFonts w:cstheme="minorHAnsi"/>
          <w:szCs w:val="22"/>
        </w:rPr>
        <w:t xml:space="preserve"> </w:t>
      </w:r>
      <w:r w:rsidRPr="00056649">
        <w:rPr>
          <w:rFonts w:cstheme="minorHAnsi"/>
          <w:szCs w:val="22"/>
        </w:rPr>
        <w:t>substantial improvement</w:t>
      </w:r>
      <w:r>
        <w:rPr>
          <w:rFonts w:cstheme="minorHAnsi"/>
          <w:szCs w:val="22"/>
        </w:rPr>
        <w:t xml:space="preserve"> </w:t>
      </w:r>
      <w:r w:rsidRPr="00056649">
        <w:rPr>
          <w:rFonts w:cstheme="minorHAnsi"/>
          <w:szCs w:val="22"/>
        </w:rPr>
        <w:t>letters. The county or</w:t>
      </w:r>
      <w:r>
        <w:rPr>
          <w:rFonts w:cstheme="minorHAnsi"/>
          <w:szCs w:val="22"/>
        </w:rPr>
        <w:t xml:space="preserve"> </w:t>
      </w:r>
      <w:r w:rsidRPr="00056649">
        <w:rPr>
          <w:rFonts w:cstheme="minorHAnsi"/>
          <w:szCs w:val="22"/>
        </w:rPr>
        <w:t xml:space="preserve">municipality must allow homeowners to provide an e-mail address where they can receive digital copies of such letters. </w:t>
      </w:r>
    </w:p>
    <w:p w14:paraId="5328B6B4" w14:textId="65D2CE4C" w:rsidR="00056649" w:rsidRDefault="00056649" w:rsidP="00F20918">
      <w:pPr>
        <w:pStyle w:val="ListParagraph"/>
        <w:numPr>
          <w:ilvl w:val="0"/>
          <w:numId w:val="6"/>
        </w:numPr>
        <w:spacing w:after="160" w:line="276" w:lineRule="auto"/>
        <w:ind w:left="1267"/>
        <w:jc w:val="both"/>
        <w:rPr>
          <w:rFonts w:cstheme="minorHAnsi"/>
          <w:szCs w:val="22"/>
        </w:rPr>
      </w:pPr>
      <w:r w:rsidRPr="00056649">
        <w:rPr>
          <w:rFonts w:cstheme="minorHAnsi"/>
          <w:szCs w:val="22"/>
        </w:rPr>
        <w:t>As soon as reasonably practicable following the landfall and passage of a hurricane or tropical storm, each county and municipality that has experienced a direct impact from a natural emergency must use its best efforts to open a permitting office at which residents can access government services for at least 40 hours per week</w:t>
      </w:r>
      <w:r w:rsidR="002C145D">
        <w:rPr>
          <w:rFonts w:cstheme="minorHAnsi"/>
          <w:szCs w:val="22"/>
        </w:rPr>
        <w:t>.</w:t>
      </w:r>
    </w:p>
    <w:p w14:paraId="7780628F" w14:textId="7B48EC40" w:rsidR="00123858" w:rsidRDefault="002C145D" w:rsidP="00F20918">
      <w:pPr>
        <w:pStyle w:val="ListParagraph"/>
        <w:numPr>
          <w:ilvl w:val="0"/>
          <w:numId w:val="6"/>
        </w:numPr>
        <w:spacing w:after="160" w:line="276" w:lineRule="auto"/>
        <w:ind w:left="1267"/>
        <w:jc w:val="both"/>
        <w:rPr>
          <w:rFonts w:cstheme="minorHAnsi"/>
          <w:szCs w:val="22"/>
        </w:rPr>
      </w:pPr>
      <w:r w:rsidRPr="002C145D">
        <w:rPr>
          <w:rFonts w:cstheme="minorHAnsi"/>
          <w:szCs w:val="22"/>
        </w:rPr>
        <w:t xml:space="preserve">Section 252.422, </w:t>
      </w:r>
      <w:r w:rsidR="008E665E">
        <w:rPr>
          <w:rFonts w:cstheme="minorHAnsi"/>
          <w:szCs w:val="22"/>
        </w:rPr>
        <w:t>F.S.</w:t>
      </w:r>
      <w:r w:rsidRPr="002C145D">
        <w:rPr>
          <w:rFonts w:cstheme="minorHAnsi"/>
          <w:szCs w:val="22"/>
        </w:rPr>
        <w:t xml:space="preserve">, is created to </w:t>
      </w:r>
      <w:r w:rsidR="00123858">
        <w:rPr>
          <w:rFonts w:cstheme="minorHAnsi"/>
          <w:szCs w:val="22"/>
        </w:rPr>
        <w:t>prohibit, f</w:t>
      </w:r>
      <w:r w:rsidRPr="002C145D">
        <w:rPr>
          <w:rFonts w:cstheme="minorHAnsi"/>
          <w:szCs w:val="22"/>
        </w:rPr>
        <w:t xml:space="preserve">or 1 year after a hurricane makes landfall, an impacted local government </w:t>
      </w:r>
      <w:r w:rsidR="00123858">
        <w:rPr>
          <w:rFonts w:cstheme="minorHAnsi"/>
          <w:szCs w:val="22"/>
        </w:rPr>
        <w:t>from</w:t>
      </w:r>
      <w:r w:rsidRPr="002C145D">
        <w:rPr>
          <w:rFonts w:cstheme="minorHAnsi"/>
          <w:szCs w:val="22"/>
        </w:rPr>
        <w:t xml:space="preserve"> propos</w:t>
      </w:r>
      <w:r w:rsidR="00123858">
        <w:rPr>
          <w:rFonts w:cstheme="minorHAnsi"/>
          <w:szCs w:val="22"/>
        </w:rPr>
        <w:t xml:space="preserve">ing </w:t>
      </w:r>
      <w:r w:rsidRPr="002C145D">
        <w:rPr>
          <w:rFonts w:cstheme="minorHAnsi"/>
          <w:szCs w:val="22"/>
        </w:rPr>
        <w:t>or adopt</w:t>
      </w:r>
      <w:r w:rsidR="00123858">
        <w:rPr>
          <w:rFonts w:cstheme="minorHAnsi"/>
          <w:szCs w:val="22"/>
        </w:rPr>
        <w:t>ing</w:t>
      </w:r>
      <w:r w:rsidRPr="002C145D">
        <w:rPr>
          <w:rFonts w:cstheme="minorHAnsi"/>
          <w:szCs w:val="22"/>
        </w:rPr>
        <w:t xml:space="preserve">: </w:t>
      </w:r>
    </w:p>
    <w:p w14:paraId="4CF892F3" w14:textId="39D53C9F" w:rsidR="00123858" w:rsidRDefault="002C145D" w:rsidP="00123858">
      <w:pPr>
        <w:pStyle w:val="ListParagraph"/>
        <w:numPr>
          <w:ilvl w:val="1"/>
          <w:numId w:val="6"/>
        </w:numPr>
        <w:spacing w:after="160" w:line="276" w:lineRule="auto"/>
        <w:jc w:val="both"/>
        <w:rPr>
          <w:rFonts w:cstheme="minorHAnsi"/>
          <w:szCs w:val="22"/>
        </w:rPr>
      </w:pPr>
      <w:r w:rsidRPr="002C145D">
        <w:rPr>
          <w:rFonts w:cstheme="minorHAnsi"/>
          <w:szCs w:val="22"/>
        </w:rPr>
        <w:t>A moratorium on construction, reconstruction, or redevelopment of any property.</w:t>
      </w:r>
    </w:p>
    <w:p w14:paraId="2D2EC4A2" w14:textId="574385FB" w:rsidR="00123858" w:rsidRDefault="002C145D" w:rsidP="00123858">
      <w:pPr>
        <w:pStyle w:val="ListParagraph"/>
        <w:numPr>
          <w:ilvl w:val="1"/>
          <w:numId w:val="6"/>
        </w:numPr>
        <w:spacing w:after="160" w:line="276" w:lineRule="auto"/>
        <w:jc w:val="both"/>
        <w:rPr>
          <w:rFonts w:cstheme="minorHAnsi"/>
          <w:szCs w:val="22"/>
        </w:rPr>
      </w:pPr>
      <w:r w:rsidRPr="002C145D">
        <w:rPr>
          <w:rFonts w:cstheme="minorHAnsi"/>
          <w:szCs w:val="22"/>
        </w:rPr>
        <w:t xml:space="preserve">A more restrictive or burdensome amendment to its comprehensive plan or land development regulations. </w:t>
      </w:r>
    </w:p>
    <w:p w14:paraId="333DC519" w14:textId="624E200D" w:rsidR="00123858" w:rsidRDefault="002C145D" w:rsidP="00123858">
      <w:pPr>
        <w:pStyle w:val="ListParagraph"/>
        <w:numPr>
          <w:ilvl w:val="1"/>
          <w:numId w:val="6"/>
        </w:numPr>
        <w:spacing w:after="160" w:line="276" w:lineRule="auto"/>
        <w:jc w:val="both"/>
        <w:rPr>
          <w:rFonts w:cstheme="minorHAnsi"/>
          <w:szCs w:val="22"/>
        </w:rPr>
      </w:pPr>
      <w:r w:rsidRPr="002C145D">
        <w:rPr>
          <w:rFonts w:cstheme="minorHAnsi"/>
          <w:szCs w:val="22"/>
        </w:rPr>
        <w:t xml:space="preserve">A more restrictive or burdensome procedure concerning review, approval, or issuance of a site plan, development permit, or development order, to the extent that those terms are defined in s. 163.3164. </w:t>
      </w:r>
    </w:p>
    <w:p w14:paraId="0EBF629A" w14:textId="77777777" w:rsidR="00123858" w:rsidRDefault="002C145D" w:rsidP="00F20918">
      <w:pPr>
        <w:pStyle w:val="ListParagraph"/>
        <w:numPr>
          <w:ilvl w:val="0"/>
          <w:numId w:val="6"/>
        </w:numPr>
        <w:spacing w:after="160" w:line="276" w:lineRule="auto"/>
        <w:ind w:left="1267"/>
        <w:jc w:val="both"/>
        <w:rPr>
          <w:rFonts w:cstheme="minorHAnsi"/>
          <w:szCs w:val="22"/>
        </w:rPr>
      </w:pPr>
      <w:r w:rsidRPr="002C145D">
        <w:rPr>
          <w:rFonts w:cstheme="minorHAnsi"/>
          <w:szCs w:val="22"/>
        </w:rPr>
        <w:t xml:space="preserve">Any person may file suit against any impacted local government for declaratory and injunctive relief to enforce this section. </w:t>
      </w:r>
    </w:p>
    <w:p w14:paraId="67BA6BFC" w14:textId="2C06D0FA" w:rsidR="00123858" w:rsidRDefault="002C145D" w:rsidP="00F20918">
      <w:pPr>
        <w:pStyle w:val="ListParagraph"/>
        <w:numPr>
          <w:ilvl w:val="0"/>
          <w:numId w:val="6"/>
        </w:numPr>
        <w:spacing w:after="160" w:line="276" w:lineRule="auto"/>
        <w:ind w:left="1267"/>
        <w:jc w:val="both"/>
        <w:rPr>
          <w:rFonts w:cstheme="minorHAnsi"/>
          <w:szCs w:val="22"/>
        </w:rPr>
      </w:pPr>
      <w:r w:rsidRPr="002C145D">
        <w:rPr>
          <w:rFonts w:cstheme="minorHAnsi"/>
          <w:szCs w:val="22"/>
        </w:rPr>
        <w:t xml:space="preserve">The Office of Program Policy Analysis and Government </w:t>
      </w:r>
      <w:r w:rsidR="00313048" w:rsidRPr="002C145D">
        <w:rPr>
          <w:rFonts w:cstheme="minorHAnsi"/>
          <w:szCs w:val="22"/>
        </w:rPr>
        <w:t>Accountability</w:t>
      </w:r>
      <w:r w:rsidRPr="002C145D">
        <w:rPr>
          <w:rFonts w:cstheme="minorHAnsi"/>
          <w:szCs w:val="22"/>
        </w:rPr>
        <w:t xml:space="preserve"> (OPPAGA) shall conduct a study on actions taken by local governments after </w:t>
      </w:r>
      <w:r w:rsidR="00C20CC9" w:rsidRPr="002C145D">
        <w:rPr>
          <w:rFonts w:cstheme="minorHAnsi"/>
          <w:szCs w:val="22"/>
        </w:rPr>
        <w:t>hurricanes, which</w:t>
      </w:r>
      <w:r w:rsidRPr="002C145D">
        <w:rPr>
          <w:rFonts w:cstheme="minorHAnsi"/>
          <w:szCs w:val="22"/>
        </w:rPr>
        <w:t xml:space="preserve"> are related to comprehensive plans, land </w:t>
      </w:r>
      <w:r w:rsidR="00123858">
        <w:rPr>
          <w:rFonts w:cstheme="minorHAnsi"/>
          <w:szCs w:val="22"/>
        </w:rPr>
        <w:t xml:space="preserve">development </w:t>
      </w:r>
      <w:r w:rsidRPr="002C145D">
        <w:rPr>
          <w:rFonts w:cstheme="minorHAnsi"/>
          <w:szCs w:val="22"/>
        </w:rPr>
        <w:t>regulations, and procedures for</w:t>
      </w:r>
      <w:r w:rsidR="00123858">
        <w:rPr>
          <w:rFonts w:cstheme="minorHAnsi"/>
          <w:szCs w:val="22"/>
        </w:rPr>
        <w:t xml:space="preserve"> </w:t>
      </w:r>
      <w:r w:rsidRPr="002C145D">
        <w:rPr>
          <w:rFonts w:cstheme="minorHAnsi"/>
          <w:szCs w:val="22"/>
        </w:rPr>
        <w:t>review, approval, or issuance of site plans, permits, or development orders. The study must focus on the impact that local governmental actions, including moratoriums, ordinances, and procedures, have had or may have on construction, reconstruction, or redevelopment of any property damaged by hurricanes. In its research, OPPAGA shall survey stakeholders that play integral parts in the rebuilding and recovery process. OPPAGA shall make recommendations for legislative options to remove impediments to the construction, reconstru</w:t>
      </w:r>
      <w:r w:rsidR="00C85D6B">
        <w:rPr>
          <w:rFonts w:cstheme="minorHAnsi"/>
          <w:szCs w:val="22"/>
        </w:rPr>
        <w:t>c</w:t>
      </w:r>
      <w:r w:rsidRPr="002C145D">
        <w:rPr>
          <w:rFonts w:cstheme="minorHAnsi"/>
          <w:szCs w:val="22"/>
        </w:rPr>
        <w:t xml:space="preserve">tion, or redevelopment of any property damaged by a hurricane and prevent the implementation by local governments of burdensome or restrictive procedures and processes. OPPAGA shall submit the report to the President of the Senate and the Speaker of the House of Representatives by December 1, 2025. </w:t>
      </w:r>
    </w:p>
    <w:p w14:paraId="5323ADFB" w14:textId="610479C7" w:rsidR="002C145D" w:rsidRDefault="002C145D" w:rsidP="00F20918">
      <w:pPr>
        <w:pStyle w:val="ListParagraph"/>
        <w:numPr>
          <w:ilvl w:val="0"/>
          <w:numId w:val="6"/>
        </w:numPr>
        <w:spacing w:after="160" w:line="276" w:lineRule="auto"/>
        <w:ind w:left="1267"/>
        <w:jc w:val="both"/>
        <w:rPr>
          <w:rFonts w:cstheme="minorHAnsi"/>
          <w:szCs w:val="22"/>
        </w:rPr>
      </w:pPr>
      <w:r w:rsidRPr="002C145D">
        <w:rPr>
          <w:rFonts w:cstheme="minorHAnsi"/>
          <w:szCs w:val="22"/>
        </w:rPr>
        <w:t>Each state or local government contract for goods or services related to emergency response for a natural emergency entered into, renewed, or amended on or after July 1, 2025, must include a provision that requires a</w:t>
      </w:r>
      <w:r w:rsidR="00123858">
        <w:rPr>
          <w:rFonts w:cstheme="minorHAnsi"/>
          <w:szCs w:val="22"/>
        </w:rPr>
        <w:t xml:space="preserve"> </w:t>
      </w:r>
      <w:r w:rsidRPr="002C145D">
        <w:rPr>
          <w:rFonts w:cstheme="minorHAnsi"/>
          <w:szCs w:val="22"/>
        </w:rPr>
        <w:t>vendor</w:t>
      </w:r>
      <w:r w:rsidR="00123858">
        <w:rPr>
          <w:rFonts w:cstheme="minorHAnsi"/>
          <w:szCs w:val="22"/>
        </w:rPr>
        <w:t xml:space="preserve"> </w:t>
      </w:r>
      <w:r w:rsidRPr="002C145D">
        <w:rPr>
          <w:rFonts w:cstheme="minorHAnsi"/>
          <w:szCs w:val="22"/>
        </w:rPr>
        <w:t>or</w:t>
      </w:r>
      <w:r w:rsidR="00123858">
        <w:rPr>
          <w:rFonts w:cstheme="minorHAnsi"/>
          <w:szCs w:val="22"/>
        </w:rPr>
        <w:t xml:space="preserve"> </w:t>
      </w:r>
      <w:r w:rsidRPr="002C145D">
        <w:rPr>
          <w:rFonts w:cstheme="minorHAnsi"/>
          <w:szCs w:val="22"/>
        </w:rPr>
        <w:t>service</w:t>
      </w:r>
      <w:r w:rsidR="00123858">
        <w:rPr>
          <w:rFonts w:cstheme="minorHAnsi"/>
          <w:szCs w:val="22"/>
        </w:rPr>
        <w:t xml:space="preserve"> </w:t>
      </w:r>
      <w:r w:rsidRPr="002C145D">
        <w:rPr>
          <w:rFonts w:cstheme="minorHAnsi"/>
          <w:szCs w:val="22"/>
        </w:rPr>
        <w:t>provider</w:t>
      </w:r>
      <w:r w:rsidR="00123858">
        <w:rPr>
          <w:rFonts w:cstheme="minorHAnsi"/>
          <w:szCs w:val="22"/>
        </w:rPr>
        <w:t xml:space="preserve"> </w:t>
      </w:r>
      <w:r w:rsidRPr="002C145D">
        <w:rPr>
          <w:rFonts w:cstheme="minorHAnsi"/>
          <w:szCs w:val="22"/>
        </w:rPr>
        <w:t>that</w:t>
      </w:r>
      <w:r w:rsidR="00123858">
        <w:rPr>
          <w:rFonts w:cstheme="minorHAnsi"/>
          <w:szCs w:val="22"/>
        </w:rPr>
        <w:t xml:space="preserve"> </w:t>
      </w:r>
      <w:r w:rsidRPr="002C145D">
        <w:rPr>
          <w:rFonts w:cstheme="minorHAnsi"/>
          <w:szCs w:val="22"/>
        </w:rPr>
        <w:t>breaches</w:t>
      </w:r>
      <w:r w:rsidR="00123858">
        <w:rPr>
          <w:rFonts w:cstheme="minorHAnsi"/>
          <w:szCs w:val="22"/>
        </w:rPr>
        <w:t xml:space="preserve"> </w:t>
      </w:r>
      <w:r w:rsidRPr="002C145D">
        <w:rPr>
          <w:rFonts w:cstheme="minorHAnsi"/>
          <w:szCs w:val="22"/>
        </w:rPr>
        <w:t>such</w:t>
      </w:r>
      <w:r w:rsidR="00123858">
        <w:rPr>
          <w:rFonts w:cstheme="minorHAnsi"/>
          <w:szCs w:val="22"/>
        </w:rPr>
        <w:t xml:space="preserve"> </w:t>
      </w:r>
      <w:r w:rsidRPr="002C145D">
        <w:rPr>
          <w:rFonts w:cstheme="minorHAnsi"/>
          <w:szCs w:val="22"/>
        </w:rPr>
        <w:t>contract</w:t>
      </w:r>
      <w:r w:rsidR="00123858">
        <w:rPr>
          <w:rFonts w:cstheme="minorHAnsi"/>
          <w:szCs w:val="22"/>
        </w:rPr>
        <w:t xml:space="preserve"> </w:t>
      </w:r>
      <w:r w:rsidRPr="002C145D">
        <w:rPr>
          <w:rFonts w:cstheme="minorHAnsi"/>
          <w:szCs w:val="22"/>
        </w:rPr>
        <w:t>during an emergency recovery period to pay a $5,000 penalty and damages, which may be either actual and consequential damages or liquidated damages. As used in this section, the term “emergency recovery period” means a 1-year period that begins on the date that the Governor initially declared a state of emergency for a natural emergency</w:t>
      </w:r>
    </w:p>
    <w:p w14:paraId="1297FDF7" w14:textId="0A1B651B" w:rsidR="002C145D" w:rsidRDefault="002C145D" w:rsidP="00F20918">
      <w:pPr>
        <w:pStyle w:val="ListParagraph"/>
        <w:numPr>
          <w:ilvl w:val="0"/>
          <w:numId w:val="6"/>
        </w:numPr>
        <w:spacing w:after="160" w:line="276" w:lineRule="auto"/>
        <w:ind w:left="1267"/>
        <w:jc w:val="both"/>
        <w:rPr>
          <w:rFonts w:cstheme="minorHAnsi"/>
          <w:szCs w:val="22"/>
        </w:rPr>
      </w:pPr>
      <w:r w:rsidRPr="002C145D">
        <w:rPr>
          <w:rFonts w:cstheme="minorHAnsi"/>
          <w:szCs w:val="22"/>
        </w:rPr>
        <w:lastRenderedPageBreak/>
        <w:t xml:space="preserve">Each county and municipality shall apply to the </w:t>
      </w:r>
      <w:r w:rsidR="00C85D6B">
        <w:rPr>
          <w:rFonts w:cstheme="minorHAnsi"/>
          <w:szCs w:val="22"/>
        </w:rPr>
        <w:t>D</w:t>
      </w:r>
      <w:r w:rsidRPr="002C145D">
        <w:rPr>
          <w:rFonts w:cstheme="minorHAnsi"/>
          <w:szCs w:val="22"/>
        </w:rPr>
        <w:t xml:space="preserve">epartment </w:t>
      </w:r>
      <w:r w:rsidR="00C85D6B">
        <w:rPr>
          <w:rFonts w:cstheme="minorHAnsi"/>
          <w:szCs w:val="22"/>
        </w:rPr>
        <w:t xml:space="preserve">of Environmental (DEP) Protection </w:t>
      </w:r>
      <w:r w:rsidRPr="002C145D">
        <w:rPr>
          <w:rFonts w:cstheme="minorHAnsi"/>
          <w:szCs w:val="22"/>
        </w:rPr>
        <w:t xml:space="preserve">for authorization of at least one debris management site and shall annually seek preauthorization for any previously approved debris management sites, as allowed by the </w:t>
      </w:r>
      <w:r w:rsidR="00C85D6B">
        <w:rPr>
          <w:rFonts w:cstheme="minorHAnsi"/>
          <w:szCs w:val="22"/>
        </w:rPr>
        <w:t>DEP</w:t>
      </w:r>
      <w:r w:rsidRPr="002C145D">
        <w:rPr>
          <w:rFonts w:cstheme="minorHAnsi"/>
          <w:szCs w:val="22"/>
        </w:rPr>
        <w:t>.</w:t>
      </w:r>
      <w:r w:rsidR="00C85D6B">
        <w:rPr>
          <w:rFonts w:cstheme="minorHAnsi"/>
          <w:szCs w:val="22"/>
        </w:rPr>
        <w:t xml:space="preserve"> </w:t>
      </w:r>
      <w:r w:rsidRPr="002C145D">
        <w:rPr>
          <w:rFonts w:cstheme="minorHAnsi"/>
          <w:szCs w:val="22"/>
        </w:rPr>
        <w:t xml:space="preserve"> A municipality may jointly apply for authorization of a debris management site with a county or at least one adjacent municipality, if the parties develop and approve a memorandum of understanding. Such memorandum must clearly outline the capacity of the debris management site and location of the site relative to each party. </w:t>
      </w:r>
      <w:r w:rsidR="00C85D6B">
        <w:rPr>
          <w:rFonts w:cstheme="minorHAnsi"/>
          <w:szCs w:val="22"/>
        </w:rPr>
        <w:t xml:space="preserve"> </w:t>
      </w:r>
      <w:r w:rsidRPr="002C145D">
        <w:rPr>
          <w:rFonts w:cstheme="minorHAnsi"/>
          <w:szCs w:val="22"/>
        </w:rPr>
        <w:t>The memorandum of understanding must be approved annually as part of the preauthorization process</w:t>
      </w:r>
    </w:p>
    <w:p w14:paraId="507764F9" w14:textId="379C539A" w:rsidR="002C145D" w:rsidRPr="00F20918" w:rsidRDefault="00C85D6B" w:rsidP="00C71059">
      <w:pPr>
        <w:pStyle w:val="ListParagraph"/>
        <w:numPr>
          <w:ilvl w:val="0"/>
          <w:numId w:val="6"/>
        </w:numPr>
        <w:spacing w:after="240" w:line="276" w:lineRule="auto"/>
        <w:ind w:left="1267"/>
        <w:jc w:val="both"/>
        <w:rPr>
          <w:rFonts w:cstheme="minorHAnsi"/>
          <w:szCs w:val="22"/>
        </w:rPr>
      </w:pPr>
      <w:r w:rsidRPr="00C85D6B">
        <w:rPr>
          <w:rFonts w:cstheme="minorHAnsi"/>
          <w:szCs w:val="22"/>
        </w:rPr>
        <w:t>Each county listed in the Federal Disaster Declaration</w:t>
      </w:r>
      <w:r>
        <w:rPr>
          <w:rFonts w:cstheme="minorHAnsi"/>
          <w:szCs w:val="22"/>
        </w:rPr>
        <w:t xml:space="preserve"> </w:t>
      </w:r>
      <w:r w:rsidR="002C145D" w:rsidRPr="002C145D">
        <w:rPr>
          <w:rFonts w:cstheme="minorHAnsi"/>
          <w:szCs w:val="22"/>
        </w:rPr>
        <w:t>for Hurricane Debby (DR-4806), Hurricane Helene (DR-4828), or Hurricane Milton (DR-4834), and each municipality within one of those counties, may not propose or adopt any moratorium on construction, reconstruction, or redevelopment of any property damaged by such hurricanes; propose or adopt more restrictive or burdensome amendments to its comprehensive plan or</w:t>
      </w:r>
      <w:r>
        <w:rPr>
          <w:rFonts w:cstheme="minorHAnsi"/>
          <w:szCs w:val="22"/>
        </w:rPr>
        <w:t xml:space="preserve"> </w:t>
      </w:r>
      <w:r w:rsidR="002C145D" w:rsidRPr="002C145D">
        <w:rPr>
          <w:rFonts w:cstheme="minorHAnsi"/>
          <w:szCs w:val="22"/>
        </w:rPr>
        <w:t>land</w:t>
      </w:r>
      <w:r>
        <w:rPr>
          <w:rFonts w:cstheme="minorHAnsi"/>
          <w:szCs w:val="22"/>
        </w:rPr>
        <w:t xml:space="preserve"> </w:t>
      </w:r>
      <w:r w:rsidR="002C145D" w:rsidRPr="002C145D">
        <w:rPr>
          <w:rFonts w:cstheme="minorHAnsi"/>
          <w:szCs w:val="22"/>
        </w:rPr>
        <w:t>development</w:t>
      </w:r>
      <w:r>
        <w:rPr>
          <w:rFonts w:cstheme="minorHAnsi"/>
          <w:szCs w:val="22"/>
        </w:rPr>
        <w:t xml:space="preserve"> </w:t>
      </w:r>
      <w:r w:rsidR="002C145D" w:rsidRPr="002C145D">
        <w:rPr>
          <w:rFonts w:cstheme="minorHAnsi"/>
          <w:szCs w:val="22"/>
        </w:rPr>
        <w:t>regulations;</w:t>
      </w:r>
      <w:r>
        <w:rPr>
          <w:rFonts w:cstheme="minorHAnsi"/>
          <w:szCs w:val="22"/>
        </w:rPr>
        <w:t xml:space="preserve"> </w:t>
      </w:r>
      <w:r w:rsidR="002C145D" w:rsidRPr="002C145D">
        <w:rPr>
          <w:rFonts w:cstheme="minorHAnsi"/>
          <w:szCs w:val="22"/>
        </w:rPr>
        <w:t>or</w:t>
      </w:r>
      <w:r>
        <w:rPr>
          <w:rFonts w:cstheme="minorHAnsi"/>
          <w:szCs w:val="22"/>
        </w:rPr>
        <w:t xml:space="preserve"> </w:t>
      </w:r>
      <w:r w:rsidR="002C145D" w:rsidRPr="002C145D">
        <w:rPr>
          <w:rFonts w:cstheme="minorHAnsi"/>
          <w:szCs w:val="22"/>
        </w:rPr>
        <w:t>propose</w:t>
      </w:r>
      <w:r>
        <w:rPr>
          <w:rFonts w:cstheme="minorHAnsi"/>
          <w:szCs w:val="22"/>
        </w:rPr>
        <w:t xml:space="preserve"> </w:t>
      </w:r>
      <w:r w:rsidR="002C145D" w:rsidRPr="002C145D">
        <w:rPr>
          <w:rFonts w:cstheme="minorHAnsi"/>
          <w:szCs w:val="22"/>
        </w:rPr>
        <w:t>or</w:t>
      </w:r>
      <w:r>
        <w:rPr>
          <w:rFonts w:cstheme="minorHAnsi"/>
          <w:szCs w:val="22"/>
        </w:rPr>
        <w:t xml:space="preserve"> </w:t>
      </w:r>
      <w:r w:rsidR="002C145D" w:rsidRPr="002C145D">
        <w:rPr>
          <w:rFonts w:cstheme="minorHAnsi"/>
          <w:szCs w:val="22"/>
        </w:rPr>
        <w:t>adopt</w:t>
      </w:r>
      <w:r>
        <w:rPr>
          <w:rFonts w:cstheme="minorHAnsi"/>
          <w:szCs w:val="22"/>
        </w:rPr>
        <w:t xml:space="preserve"> </w:t>
      </w:r>
      <w:r w:rsidR="002C145D" w:rsidRPr="002C145D">
        <w:rPr>
          <w:rFonts w:cstheme="minorHAnsi"/>
          <w:szCs w:val="22"/>
        </w:rPr>
        <w:t>more</w:t>
      </w:r>
      <w:r>
        <w:rPr>
          <w:rFonts w:cstheme="minorHAnsi"/>
          <w:szCs w:val="22"/>
        </w:rPr>
        <w:t xml:space="preserve"> </w:t>
      </w:r>
      <w:r w:rsidR="002C145D" w:rsidRPr="002C145D">
        <w:rPr>
          <w:rFonts w:cstheme="minorHAnsi"/>
          <w:szCs w:val="22"/>
        </w:rPr>
        <w:t>restrictive</w:t>
      </w:r>
      <w:r>
        <w:rPr>
          <w:rFonts w:cstheme="minorHAnsi"/>
          <w:szCs w:val="22"/>
        </w:rPr>
        <w:t xml:space="preserve"> </w:t>
      </w:r>
      <w:r w:rsidR="002C145D" w:rsidRPr="002C145D">
        <w:rPr>
          <w:rFonts w:cstheme="minorHAnsi"/>
          <w:szCs w:val="22"/>
        </w:rPr>
        <w:t xml:space="preserve">or burdensome procedures concerning review, approval, or issuance of a site plan, development permit, or development order, to the extent that those terms are defined by s. 163.3164, </w:t>
      </w:r>
      <w:r w:rsidR="008E665E">
        <w:rPr>
          <w:rFonts w:cstheme="minorHAnsi"/>
          <w:szCs w:val="22"/>
        </w:rPr>
        <w:t>F.S.</w:t>
      </w:r>
      <w:r w:rsidR="002C145D" w:rsidRPr="002C145D">
        <w:rPr>
          <w:rFonts w:cstheme="minorHAnsi"/>
          <w:szCs w:val="22"/>
        </w:rPr>
        <w:t>, before October 1, 2027, and any such moratorium or restrictive or burdensome comprehensive plan amendment, land development regulation, or procedure shall be null and void ab initio. This subsection applies retroactively to August 1, 2024</w:t>
      </w:r>
    </w:p>
    <w:p w14:paraId="59A3275B" w14:textId="68A02365" w:rsidR="006563EE" w:rsidRDefault="00E5525A" w:rsidP="00CC0861">
      <w:pPr>
        <w:spacing w:after="120" w:line="276" w:lineRule="auto"/>
        <w:ind w:left="540"/>
        <w:jc w:val="both"/>
        <w:rPr>
          <w:rFonts w:cstheme="minorHAnsi"/>
          <w:bCs/>
          <w:szCs w:val="22"/>
        </w:rPr>
      </w:pPr>
      <w:r w:rsidRPr="00F20918">
        <w:rPr>
          <w:rFonts w:cstheme="minorHAnsi"/>
          <w:bCs/>
          <w:szCs w:val="22"/>
        </w:rPr>
        <w:t>Effective date: Ju</w:t>
      </w:r>
      <w:r w:rsidR="002C145D">
        <w:rPr>
          <w:rFonts w:cstheme="minorHAnsi"/>
          <w:bCs/>
          <w:szCs w:val="22"/>
        </w:rPr>
        <w:t>ne 26,</w:t>
      </w:r>
      <w:r w:rsidRPr="00F20918">
        <w:rPr>
          <w:rFonts w:cstheme="minorHAnsi"/>
          <w:bCs/>
          <w:szCs w:val="22"/>
        </w:rPr>
        <w:t xml:space="preserve"> 202</w:t>
      </w:r>
      <w:r w:rsidR="00F20918" w:rsidRPr="00F20918">
        <w:rPr>
          <w:rFonts w:cstheme="minorHAnsi"/>
          <w:bCs/>
          <w:szCs w:val="22"/>
        </w:rPr>
        <w:t>5</w:t>
      </w:r>
      <w:r w:rsidRPr="00F20918">
        <w:rPr>
          <w:rFonts w:cstheme="minorHAnsi"/>
          <w:bCs/>
          <w:szCs w:val="22"/>
        </w:rPr>
        <w:t>.</w:t>
      </w:r>
    </w:p>
    <w:p w14:paraId="4EBF3A4E" w14:textId="168CA89F" w:rsidR="00B44296" w:rsidRPr="00CA0D6C" w:rsidRDefault="6C6D6F58" w:rsidP="00B44296">
      <w:pPr>
        <w:pStyle w:val="H2"/>
        <w:spacing w:line="276" w:lineRule="auto"/>
      </w:pPr>
      <w:bookmarkStart w:id="16" w:name="_Toc205981723"/>
      <w:r>
        <w:t>Implementing the 2025-26 General Appropriations Act</w:t>
      </w:r>
      <w:bookmarkEnd w:id="16"/>
    </w:p>
    <w:p w14:paraId="576C020A" w14:textId="110F3DEB" w:rsidR="00CA0D6C" w:rsidRPr="00CA0D6C" w:rsidRDefault="00B44296" w:rsidP="00CA0D6C">
      <w:pPr>
        <w:spacing w:line="276" w:lineRule="auto"/>
        <w:ind w:left="540"/>
        <w:jc w:val="both"/>
        <w:rPr>
          <w:rFonts w:cstheme="minorHAnsi"/>
          <w:bCs/>
          <w:szCs w:val="22"/>
        </w:rPr>
      </w:pPr>
      <w:r w:rsidRPr="00CA0D6C">
        <w:rPr>
          <w:rFonts w:cstheme="minorHAnsi"/>
          <w:bCs/>
          <w:szCs w:val="22"/>
        </w:rPr>
        <w:t>Ch. 202</w:t>
      </w:r>
      <w:r w:rsidR="00CA0D6C" w:rsidRPr="00CA0D6C">
        <w:rPr>
          <w:rFonts w:cstheme="minorHAnsi"/>
          <w:bCs/>
          <w:szCs w:val="22"/>
        </w:rPr>
        <w:t>5</w:t>
      </w:r>
      <w:r w:rsidRPr="00CA0D6C">
        <w:rPr>
          <w:rFonts w:cstheme="minorHAnsi"/>
          <w:bCs/>
          <w:szCs w:val="22"/>
        </w:rPr>
        <w:t>-</w:t>
      </w:r>
      <w:r w:rsidR="00CA0D6C" w:rsidRPr="00CA0D6C">
        <w:rPr>
          <w:rFonts w:cstheme="minorHAnsi"/>
          <w:bCs/>
          <w:szCs w:val="22"/>
        </w:rPr>
        <w:t>1</w:t>
      </w:r>
      <w:r w:rsidRPr="00CA0D6C">
        <w:rPr>
          <w:rFonts w:cstheme="minorHAnsi"/>
          <w:bCs/>
          <w:szCs w:val="22"/>
        </w:rPr>
        <w:t>99, L.O.F.</w:t>
      </w:r>
      <w:r w:rsidR="004B1368" w:rsidRPr="00CA0D6C">
        <w:rPr>
          <w:rFonts w:cstheme="minorHAnsi"/>
          <w:bCs/>
          <w:szCs w:val="22"/>
        </w:rPr>
        <w:t xml:space="preserve"> (</w:t>
      </w:r>
      <w:r w:rsidR="00CA0D6C" w:rsidRPr="00CA0D6C">
        <w:rPr>
          <w:rFonts w:cstheme="minorHAnsi"/>
          <w:bCs/>
          <w:szCs w:val="22"/>
        </w:rPr>
        <w:t>S</w:t>
      </w:r>
      <w:r w:rsidR="004B1368" w:rsidRPr="00CA0D6C">
        <w:rPr>
          <w:rFonts w:cstheme="minorHAnsi"/>
          <w:bCs/>
          <w:szCs w:val="22"/>
        </w:rPr>
        <w:t xml:space="preserve">B </w:t>
      </w:r>
      <w:r w:rsidR="00CA0D6C" w:rsidRPr="00CA0D6C">
        <w:rPr>
          <w:rFonts w:cstheme="minorHAnsi"/>
          <w:bCs/>
          <w:szCs w:val="22"/>
        </w:rPr>
        <w:t>2502</w:t>
      </w:r>
      <w:r w:rsidR="004B1368" w:rsidRPr="00CA0D6C">
        <w:rPr>
          <w:rFonts w:cstheme="minorHAnsi"/>
          <w:bCs/>
          <w:szCs w:val="22"/>
        </w:rPr>
        <w:t xml:space="preserve">) </w:t>
      </w:r>
      <w:r w:rsidR="00CA0D6C" w:rsidRPr="00CA0D6C">
        <w:rPr>
          <w:rFonts w:cstheme="minorHAnsi"/>
          <w:b/>
          <w:bCs/>
          <w:szCs w:val="22"/>
        </w:rPr>
        <w:t>Section 124 </w:t>
      </w:r>
      <w:r w:rsidR="00CA0D6C" w:rsidRPr="00CA0D6C">
        <w:rPr>
          <w:rFonts w:cstheme="minorHAnsi"/>
          <w:bCs/>
          <w:szCs w:val="22"/>
        </w:rPr>
        <w:t>authorizes the Office of Policy and Budget OPB) within the EOG to conduct a review of the functions, procedures, expenditures, and policies of a local government and to submit a report to the Governor, Chief Financial Officer, President of the Senate, and Speaker of the House of Representatives by January 13, 2026.</w:t>
      </w:r>
      <w:r w:rsidR="00CA0D6C">
        <w:rPr>
          <w:rFonts w:cstheme="minorHAnsi"/>
          <w:bCs/>
          <w:szCs w:val="22"/>
        </w:rPr>
        <w:t xml:space="preserve">  Specifically:</w:t>
      </w:r>
    </w:p>
    <w:p w14:paraId="7F344D34" w14:textId="77777777" w:rsidR="00B44296" w:rsidRDefault="00B44296" w:rsidP="00B44296">
      <w:pPr>
        <w:spacing w:line="276" w:lineRule="auto"/>
        <w:ind w:left="540"/>
        <w:jc w:val="both"/>
        <w:rPr>
          <w:rFonts w:cstheme="minorHAnsi"/>
          <w:bCs/>
          <w:szCs w:val="22"/>
        </w:rPr>
      </w:pPr>
    </w:p>
    <w:p w14:paraId="57555930" w14:textId="77777777" w:rsidR="00CA0D6C" w:rsidRPr="00CA0D6C" w:rsidRDefault="00CA0D6C" w:rsidP="00CA0D6C">
      <w:pPr>
        <w:pStyle w:val="ListParagraph"/>
        <w:numPr>
          <w:ilvl w:val="0"/>
          <w:numId w:val="6"/>
        </w:numPr>
        <w:spacing w:after="160" w:line="276" w:lineRule="auto"/>
        <w:ind w:left="1267"/>
        <w:jc w:val="both"/>
        <w:rPr>
          <w:rFonts w:cstheme="minorHAnsi"/>
          <w:szCs w:val="22"/>
        </w:rPr>
      </w:pPr>
      <w:r w:rsidRPr="00CA0D6C">
        <w:rPr>
          <w:rFonts w:cstheme="minorHAnsi"/>
          <w:szCs w:val="22"/>
        </w:rPr>
        <w:t>The Office of Policy and Budget within the Executive Office of the Governor may conduct a review of the functions, procedures, and policies of local governmental entities, local governing authorities, or units of local general-purpose government for fiscal years ending on September 30, 2024, and September 30, 2025. </w:t>
      </w:r>
      <w:r w:rsidRPr="00CA0D6C">
        <w:rPr>
          <w:rFonts w:ascii="Arial" w:hAnsi="Arial" w:cs="Arial"/>
          <w:szCs w:val="22"/>
        </w:rPr>
        <w:t>​</w:t>
      </w:r>
      <w:r w:rsidRPr="00CA0D6C">
        <w:rPr>
          <w:rFonts w:cstheme="minorHAnsi"/>
          <w:szCs w:val="22"/>
        </w:rPr>
        <w:t xml:space="preserve"> The review aims to identify:</w:t>
      </w:r>
    </w:p>
    <w:p w14:paraId="004B6C6B" w14:textId="77777777" w:rsidR="00CA0D6C" w:rsidRPr="00CA0D6C" w:rsidRDefault="00CA0D6C" w:rsidP="00CA0D6C">
      <w:pPr>
        <w:pStyle w:val="ListParagraph"/>
        <w:numPr>
          <w:ilvl w:val="1"/>
          <w:numId w:val="6"/>
        </w:numPr>
        <w:spacing w:after="160" w:line="276" w:lineRule="auto"/>
        <w:jc w:val="both"/>
        <w:rPr>
          <w:rFonts w:cstheme="minorHAnsi"/>
          <w:szCs w:val="22"/>
        </w:rPr>
      </w:pPr>
      <w:r w:rsidRPr="00CA0D6C">
        <w:rPr>
          <w:rFonts w:cstheme="minorHAnsi"/>
          <w:szCs w:val="22"/>
        </w:rPr>
        <w:t>Use of resources supporting diversity, equity, and inclusion initiatives inconsistent with law. </w:t>
      </w:r>
      <w:r w:rsidRPr="00CA0D6C">
        <w:rPr>
          <w:rFonts w:ascii="Arial" w:hAnsi="Arial" w:cs="Arial"/>
          <w:szCs w:val="22"/>
        </w:rPr>
        <w:t>​</w:t>
      </w:r>
    </w:p>
    <w:p w14:paraId="688B0083" w14:textId="77777777" w:rsidR="00CA0D6C" w:rsidRPr="00CA0D6C" w:rsidRDefault="00CA0D6C" w:rsidP="00CA0D6C">
      <w:pPr>
        <w:pStyle w:val="ListParagraph"/>
        <w:numPr>
          <w:ilvl w:val="1"/>
          <w:numId w:val="6"/>
        </w:numPr>
        <w:spacing w:after="160" w:line="276" w:lineRule="auto"/>
        <w:jc w:val="both"/>
        <w:rPr>
          <w:rFonts w:cstheme="minorHAnsi"/>
          <w:szCs w:val="22"/>
        </w:rPr>
      </w:pPr>
      <w:r w:rsidRPr="00CA0D6C">
        <w:rPr>
          <w:rFonts w:cstheme="minorHAnsi"/>
          <w:szCs w:val="22"/>
        </w:rPr>
        <w:t>Evidence of gross overspending, waste, fraud, abuse, or mismanagement of resources. </w:t>
      </w:r>
      <w:r w:rsidRPr="00CA0D6C">
        <w:rPr>
          <w:rFonts w:ascii="Arial" w:hAnsi="Arial" w:cs="Arial"/>
          <w:szCs w:val="22"/>
        </w:rPr>
        <w:t>​</w:t>
      </w:r>
    </w:p>
    <w:p w14:paraId="379F91E9" w14:textId="77777777" w:rsidR="00CA0D6C" w:rsidRPr="00CA0D6C" w:rsidRDefault="00CA0D6C" w:rsidP="00CA0D6C">
      <w:pPr>
        <w:pStyle w:val="ListParagraph"/>
        <w:numPr>
          <w:ilvl w:val="1"/>
          <w:numId w:val="6"/>
        </w:numPr>
        <w:spacing w:after="160" w:line="276" w:lineRule="auto"/>
        <w:jc w:val="both"/>
        <w:rPr>
          <w:rFonts w:cstheme="minorHAnsi"/>
          <w:szCs w:val="22"/>
        </w:rPr>
      </w:pPr>
      <w:r w:rsidRPr="00CA0D6C">
        <w:rPr>
          <w:rFonts w:cstheme="minorHAnsi"/>
          <w:szCs w:val="22"/>
        </w:rPr>
        <w:t>Duplicative or redundant government functions. </w:t>
      </w:r>
      <w:r w:rsidRPr="00CA0D6C">
        <w:rPr>
          <w:rFonts w:ascii="Arial" w:hAnsi="Arial" w:cs="Arial"/>
          <w:szCs w:val="22"/>
        </w:rPr>
        <w:t>​</w:t>
      </w:r>
    </w:p>
    <w:p w14:paraId="7FAD6438" w14:textId="77777777" w:rsidR="00CA0D6C" w:rsidRPr="00CA0D6C" w:rsidRDefault="00CA0D6C" w:rsidP="002C06C8">
      <w:pPr>
        <w:pStyle w:val="ListParagraph"/>
        <w:numPr>
          <w:ilvl w:val="0"/>
          <w:numId w:val="6"/>
        </w:numPr>
        <w:spacing w:after="160" w:line="276" w:lineRule="auto"/>
        <w:ind w:left="1267"/>
        <w:jc w:val="both"/>
        <w:rPr>
          <w:rFonts w:cstheme="minorHAnsi"/>
          <w:bCs/>
          <w:szCs w:val="22"/>
        </w:rPr>
      </w:pPr>
      <w:r w:rsidRPr="00E972DF">
        <w:rPr>
          <w:rFonts w:cstheme="minorHAnsi"/>
          <w:szCs w:val="22"/>
        </w:rPr>
        <w:t>The</w:t>
      </w:r>
      <w:r w:rsidRPr="00CA0D6C">
        <w:rPr>
          <w:rFonts w:cstheme="minorHAnsi"/>
          <w:bCs/>
          <w:szCs w:val="22"/>
        </w:rPr>
        <w:t xml:space="preserve"> review may include personnel costs, administrative overhead costs, contracts, programs, grants, outsourcing, financial documents, and personnel standards. </w:t>
      </w:r>
      <w:r w:rsidRPr="00CA0D6C">
        <w:rPr>
          <w:rFonts w:ascii="Arial" w:hAnsi="Arial" w:cs="Arial"/>
          <w:bCs/>
          <w:szCs w:val="22"/>
        </w:rPr>
        <w:t>​</w:t>
      </w:r>
    </w:p>
    <w:p w14:paraId="39EAAA9C" w14:textId="77777777" w:rsidR="00CA0D6C" w:rsidRPr="00CA0D6C" w:rsidRDefault="00CA0D6C" w:rsidP="00CA0D6C">
      <w:pPr>
        <w:pStyle w:val="ListParagraph"/>
        <w:numPr>
          <w:ilvl w:val="0"/>
          <w:numId w:val="6"/>
        </w:numPr>
        <w:spacing w:after="160" w:line="276" w:lineRule="auto"/>
        <w:ind w:left="1267"/>
        <w:jc w:val="both"/>
        <w:rPr>
          <w:rFonts w:cstheme="minorHAnsi"/>
          <w:szCs w:val="22"/>
        </w:rPr>
      </w:pPr>
      <w:r w:rsidRPr="00CA0D6C">
        <w:rPr>
          <w:rFonts w:cstheme="minorHAnsi"/>
          <w:szCs w:val="22"/>
        </w:rPr>
        <w:t>Access Requirements for Local Governments:</w:t>
      </w:r>
    </w:p>
    <w:p w14:paraId="55213C0F" w14:textId="1C8BE143" w:rsidR="00E972DF" w:rsidRPr="00E972DF" w:rsidRDefault="00CA0D6C" w:rsidP="00E972DF">
      <w:pPr>
        <w:pStyle w:val="ListParagraph"/>
        <w:numPr>
          <w:ilvl w:val="1"/>
          <w:numId w:val="6"/>
        </w:numPr>
        <w:spacing w:after="160" w:line="276" w:lineRule="auto"/>
        <w:jc w:val="both"/>
        <w:rPr>
          <w:rFonts w:cstheme="minorHAnsi"/>
          <w:bCs/>
          <w:szCs w:val="22"/>
        </w:rPr>
      </w:pPr>
      <w:r w:rsidRPr="00E972DF">
        <w:rPr>
          <w:rFonts w:cstheme="minorHAnsi"/>
          <w:szCs w:val="22"/>
        </w:rPr>
        <w:lastRenderedPageBreak/>
        <w:t>Local</w:t>
      </w:r>
      <w:r w:rsidRPr="00CA0D6C">
        <w:rPr>
          <w:rFonts w:cstheme="minorHAnsi"/>
          <w:bCs/>
          <w:szCs w:val="22"/>
        </w:rPr>
        <w:t xml:space="preserve"> governments that received state funding must provide access to personnel, premises, data systems, and records within </w:t>
      </w:r>
      <w:r w:rsidR="00C20CC9" w:rsidRPr="00CA0D6C">
        <w:rPr>
          <w:rFonts w:cstheme="minorHAnsi"/>
          <w:bCs/>
          <w:szCs w:val="22"/>
        </w:rPr>
        <w:t>seven</w:t>
      </w:r>
      <w:r w:rsidRPr="00CA0D6C">
        <w:rPr>
          <w:rFonts w:cstheme="minorHAnsi"/>
          <w:bCs/>
          <w:szCs w:val="22"/>
        </w:rPr>
        <w:t xml:space="preserve"> business days of a request from the Office of Policy and Budget. </w:t>
      </w:r>
      <w:r w:rsidRPr="00CA0D6C">
        <w:rPr>
          <w:rFonts w:ascii="Arial" w:hAnsi="Arial" w:cs="Arial"/>
          <w:bCs/>
          <w:szCs w:val="22"/>
        </w:rPr>
        <w:t>​</w:t>
      </w:r>
    </w:p>
    <w:p w14:paraId="66ACBF00" w14:textId="3FD7CEB1" w:rsidR="00CA0D6C" w:rsidRPr="00E972DF" w:rsidRDefault="00CA0D6C" w:rsidP="00E972DF">
      <w:pPr>
        <w:pStyle w:val="ListParagraph"/>
        <w:numPr>
          <w:ilvl w:val="1"/>
          <w:numId w:val="6"/>
        </w:numPr>
        <w:spacing w:after="160" w:line="276" w:lineRule="auto"/>
        <w:jc w:val="both"/>
        <w:rPr>
          <w:rFonts w:cstheme="minorHAnsi"/>
          <w:bCs/>
          <w:szCs w:val="22"/>
        </w:rPr>
      </w:pPr>
      <w:r w:rsidRPr="00E972DF">
        <w:rPr>
          <w:rFonts w:cstheme="minorHAnsi"/>
          <w:bCs/>
          <w:szCs w:val="22"/>
        </w:rPr>
        <w:t>Failure to comply may result in a fine of $1,000 per day, assessed against the local government and deposited into the General Revenue Fund. </w:t>
      </w:r>
      <w:r w:rsidRPr="00E972DF">
        <w:rPr>
          <w:rFonts w:ascii="Arial" w:hAnsi="Arial" w:cs="Arial"/>
          <w:bCs/>
          <w:szCs w:val="22"/>
        </w:rPr>
        <w:t>​</w:t>
      </w:r>
    </w:p>
    <w:p w14:paraId="6AED5617" w14:textId="77777777" w:rsidR="00E972DF" w:rsidRDefault="00CA0D6C" w:rsidP="00E972DF">
      <w:pPr>
        <w:pStyle w:val="ListParagraph"/>
        <w:numPr>
          <w:ilvl w:val="0"/>
          <w:numId w:val="6"/>
        </w:numPr>
        <w:spacing w:after="160" w:line="276" w:lineRule="auto"/>
        <w:ind w:left="1267"/>
        <w:jc w:val="both"/>
        <w:rPr>
          <w:rFonts w:cstheme="minorHAnsi"/>
          <w:szCs w:val="22"/>
        </w:rPr>
      </w:pPr>
      <w:r w:rsidRPr="00CA0D6C">
        <w:rPr>
          <w:rFonts w:cstheme="minorHAnsi"/>
          <w:szCs w:val="22"/>
        </w:rPr>
        <w:t>Reporting:</w:t>
      </w:r>
    </w:p>
    <w:p w14:paraId="03252291" w14:textId="16237FDF" w:rsidR="00CA0D6C" w:rsidRPr="00E972DF" w:rsidRDefault="00CA0D6C" w:rsidP="00E972DF">
      <w:pPr>
        <w:pStyle w:val="ListParagraph"/>
        <w:numPr>
          <w:ilvl w:val="1"/>
          <w:numId w:val="6"/>
        </w:numPr>
        <w:spacing w:after="160" w:line="276" w:lineRule="auto"/>
        <w:jc w:val="both"/>
        <w:rPr>
          <w:rFonts w:cstheme="minorHAnsi"/>
          <w:szCs w:val="22"/>
        </w:rPr>
      </w:pPr>
      <w:r w:rsidRPr="00E972DF">
        <w:rPr>
          <w:rFonts w:cstheme="minorHAnsi"/>
          <w:bCs/>
          <w:szCs w:val="22"/>
        </w:rPr>
        <w:t>The Office of Policy and Budget must compile and submit an initial report by January 13, 2026, to the Governor, Chief Financial Officer, President of the Senate, and Speaker of the House of Representatives. </w:t>
      </w:r>
      <w:r w:rsidRPr="00E972DF">
        <w:rPr>
          <w:rFonts w:ascii="Arial" w:hAnsi="Arial" w:cs="Arial"/>
          <w:bCs/>
          <w:szCs w:val="22"/>
        </w:rPr>
        <w:t>​</w:t>
      </w:r>
      <w:r w:rsidRPr="00E972DF">
        <w:rPr>
          <w:rFonts w:cstheme="minorHAnsi"/>
          <w:bCs/>
          <w:szCs w:val="22"/>
        </w:rPr>
        <w:t xml:space="preserve"> The report must include:</w:t>
      </w:r>
    </w:p>
    <w:p w14:paraId="42ABD963" w14:textId="77777777" w:rsidR="00CA0D6C" w:rsidRPr="006B5DE3" w:rsidRDefault="00CA0D6C" w:rsidP="002C06C8">
      <w:pPr>
        <w:pStyle w:val="ListParagraph"/>
        <w:numPr>
          <w:ilvl w:val="2"/>
          <w:numId w:val="6"/>
        </w:numPr>
        <w:spacing w:after="160" w:line="276" w:lineRule="auto"/>
        <w:jc w:val="both"/>
        <w:rPr>
          <w:rFonts w:cstheme="minorHAnsi"/>
          <w:szCs w:val="22"/>
        </w:rPr>
      </w:pPr>
      <w:r w:rsidRPr="006B5DE3">
        <w:rPr>
          <w:rFonts w:cstheme="minorHAnsi"/>
          <w:szCs w:val="22"/>
        </w:rPr>
        <w:t>Identification of reviewed local governments. </w:t>
      </w:r>
      <w:r w:rsidRPr="006B5DE3">
        <w:rPr>
          <w:rFonts w:ascii="Arial" w:hAnsi="Arial" w:cs="Arial"/>
          <w:szCs w:val="22"/>
        </w:rPr>
        <w:t>​</w:t>
      </w:r>
    </w:p>
    <w:p w14:paraId="55BF7419" w14:textId="77777777" w:rsidR="00CA0D6C" w:rsidRPr="006B5DE3" w:rsidRDefault="00CA0D6C" w:rsidP="002C06C8">
      <w:pPr>
        <w:pStyle w:val="ListParagraph"/>
        <w:numPr>
          <w:ilvl w:val="2"/>
          <w:numId w:val="6"/>
        </w:numPr>
        <w:spacing w:after="160" w:line="276" w:lineRule="auto"/>
        <w:jc w:val="both"/>
        <w:rPr>
          <w:rFonts w:cstheme="minorHAnsi"/>
          <w:szCs w:val="22"/>
        </w:rPr>
      </w:pPr>
      <w:r w:rsidRPr="006B5DE3">
        <w:rPr>
          <w:rFonts w:cstheme="minorHAnsi"/>
          <w:szCs w:val="22"/>
        </w:rPr>
        <w:t>Summary of reviews. </w:t>
      </w:r>
      <w:r w:rsidRPr="006B5DE3">
        <w:rPr>
          <w:rFonts w:ascii="Arial" w:hAnsi="Arial" w:cs="Arial"/>
          <w:szCs w:val="22"/>
        </w:rPr>
        <w:t>​</w:t>
      </w:r>
    </w:p>
    <w:p w14:paraId="2CD5B85A" w14:textId="77777777" w:rsidR="00CA0D6C" w:rsidRPr="006B5DE3" w:rsidRDefault="00CA0D6C" w:rsidP="002C06C8">
      <w:pPr>
        <w:pStyle w:val="ListParagraph"/>
        <w:numPr>
          <w:ilvl w:val="2"/>
          <w:numId w:val="6"/>
        </w:numPr>
        <w:spacing w:after="160" w:line="276" w:lineRule="auto"/>
        <w:jc w:val="both"/>
        <w:rPr>
          <w:rFonts w:cstheme="minorHAnsi"/>
          <w:szCs w:val="22"/>
        </w:rPr>
      </w:pPr>
      <w:r w:rsidRPr="006B5DE3">
        <w:rPr>
          <w:rFonts w:cstheme="minorHAnsi"/>
          <w:szCs w:val="22"/>
        </w:rPr>
        <w:t>Instances of misuse of resources for diversity, equity, and inclusion initiatives. </w:t>
      </w:r>
      <w:r w:rsidRPr="006B5DE3">
        <w:rPr>
          <w:rFonts w:ascii="Arial" w:hAnsi="Arial" w:cs="Arial"/>
          <w:szCs w:val="22"/>
        </w:rPr>
        <w:t>​</w:t>
      </w:r>
    </w:p>
    <w:p w14:paraId="1E0E234C" w14:textId="77777777" w:rsidR="00CA0D6C" w:rsidRPr="006B5DE3" w:rsidRDefault="00CA0D6C" w:rsidP="002C06C8">
      <w:pPr>
        <w:pStyle w:val="ListParagraph"/>
        <w:numPr>
          <w:ilvl w:val="2"/>
          <w:numId w:val="6"/>
        </w:numPr>
        <w:spacing w:after="160" w:line="276" w:lineRule="auto"/>
        <w:jc w:val="both"/>
        <w:rPr>
          <w:rFonts w:cstheme="minorHAnsi"/>
          <w:szCs w:val="22"/>
        </w:rPr>
      </w:pPr>
      <w:r w:rsidRPr="006B5DE3">
        <w:rPr>
          <w:rFonts w:cstheme="minorHAnsi"/>
          <w:szCs w:val="22"/>
        </w:rPr>
        <w:t>Evidence of gross overspending, waste, fraud, abuse, or mismanagement. </w:t>
      </w:r>
      <w:r w:rsidRPr="006B5DE3">
        <w:rPr>
          <w:rFonts w:ascii="Arial" w:hAnsi="Arial" w:cs="Arial"/>
          <w:szCs w:val="22"/>
        </w:rPr>
        <w:t>​</w:t>
      </w:r>
    </w:p>
    <w:p w14:paraId="1F6CE2D8" w14:textId="77777777" w:rsidR="00CA0D6C" w:rsidRPr="006B5DE3" w:rsidRDefault="00CA0D6C" w:rsidP="002C06C8">
      <w:pPr>
        <w:pStyle w:val="ListParagraph"/>
        <w:numPr>
          <w:ilvl w:val="2"/>
          <w:numId w:val="6"/>
        </w:numPr>
        <w:spacing w:after="240" w:line="276" w:lineRule="auto"/>
        <w:jc w:val="both"/>
        <w:rPr>
          <w:rFonts w:cstheme="minorHAnsi"/>
          <w:szCs w:val="22"/>
        </w:rPr>
      </w:pPr>
      <w:r w:rsidRPr="006B5DE3">
        <w:rPr>
          <w:rFonts w:cstheme="minorHAnsi"/>
          <w:szCs w:val="22"/>
        </w:rPr>
        <w:t>Recommendations for improving fiscal responsibility and streamlining government services. </w:t>
      </w:r>
      <w:r w:rsidRPr="006B5DE3">
        <w:rPr>
          <w:rFonts w:ascii="Arial" w:hAnsi="Arial" w:cs="Arial"/>
          <w:szCs w:val="22"/>
        </w:rPr>
        <w:t>​</w:t>
      </w:r>
    </w:p>
    <w:p w14:paraId="53C29CA6" w14:textId="3D4D8408" w:rsidR="006B5DE3" w:rsidRDefault="00B44296" w:rsidP="00CC0861">
      <w:pPr>
        <w:spacing w:after="120" w:line="276" w:lineRule="auto"/>
        <w:ind w:left="540"/>
        <w:jc w:val="both"/>
        <w:rPr>
          <w:rFonts w:cstheme="minorHAnsi"/>
          <w:bCs/>
          <w:szCs w:val="22"/>
        </w:rPr>
      </w:pPr>
      <w:r w:rsidRPr="006B5DE3">
        <w:rPr>
          <w:rFonts w:cstheme="minorHAnsi"/>
          <w:bCs/>
          <w:szCs w:val="22"/>
        </w:rPr>
        <w:t>Effective date: July 1, 202</w:t>
      </w:r>
      <w:r w:rsidR="00CA0D6C" w:rsidRPr="006B5DE3">
        <w:rPr>
          <w:rFonts w:cstheme="minorHAnsi"/>
          <w:bCs/>
          <w:szCs w:val="22"/>
        </w:rPr>
        <w:t>5</w:t>
      </w:r>
      <w:r w:rsidR="00C20CC9">
        <w:rPr>
          <w:rFonts w:cstheme="minorHAnsi"/>
          <w:bCs/>
          <w:szCs w:val="22"/>
        </w:rPr>
        <w:t>,</w:t>
      </w:r>
      <w:r w:rsidR="00CA0D6C" w:rsidRPr="006B5DE3">
        <w:rPr>
          <w:rFonts w:cstheme="minorHAnsi"/>
          <w:bCs/>
          <w:szCs w:val="22"/>
        </w:rPr>
        <w:t xml:space="preserve"> expires July 1, 2026</w:t>
      </w:r>
      <w:r w:rsidRPr="006B5DE3">
        <w:rPr>
          <w:rFonts w:cstheme="minorHAnsi"/>
          <w:bCs/>
          <w:szCs w:val="22"/>
        </w:rPr>
        <w:t>.</w:t>
      </w:r>
    </w:p>
    <w:p w14:paraId="4A9A0CA6" w14:textId="77777777" w:rsidR="00CC0861" w:rsidRPr="006B5DE3" w:rsidRDefault="6C6D6F58" w:rsidP="00CC0861">
      <w:pPr>
        <w:pStyle w:val="H2"/>
        <w:spacing w:line="276" w:lineRule="auto"/>
      </w:pPr>
      <w:bookmarkStart w:id="17" w:name="_Toc205981724"/>
      <w:r>
        <w:t>Law Enforcement and Other Personnel</w:t>
      </w:r>
      <w:bookmarkEnd w:id="17"/>
    </w:p>
    <w:p w14:paraId="5679B559" w14:textId="1BB7ADF9" w:rsidR="00CC0861" w:rsidRPr="006B5DE3" w:rsidRDefault="00CC0861" w:rsidP="00C71059">
      <w:pPr>
        <w:spacing w:after="240" w:line="276" w:lineRule="auto"/>
        <w:ind w:left="540"/>
        <w:jc w:val="both"/>
        <w:rPr>
          <w:rFonts w:cstheme="minorHAnsi"/>
          <w:bCs/>
          <w:szCs w:val="22"/>
        </w:rPr>
      </w:pPr>
      <w:r w:rsidRPr="006B5DE3">
        <w:rPr>
          <w:rFonts w:cstheme="minorHAnsi"/>
          <w:bCs/>
          <w:szCs w:val="22"/>
        </w:rPr>
        <w:t>Chapter 2025-</w:t>
      </w:r>
      <w:r>
        <w:rPr>
          <w:rFonts w:cstheme="minorHAnsi"/>
          <w:bCs/>
          <w:szCs w:val="22"/>
        </w:rPr>
        <w:t>176</w:t>
      </w:r>
      <w:r w:rsidRPr="006B5DE3">
        <w:rPr>
          <w:rFonts w:cstheme="minorHAnsi"/>
          <w:bCs/>
          <w:szCs w:val="22"/>
        </w:rPr>
        <w:t>, L.O.F., (</w:t>
      </w:r>
      <w:r>
        <w:rPr>
          <w:rFonts w:cstheme="minorHAnsi"/>
          <w:bCs/>
          <w:szCs w:val="22"/>
        </w:rPr>
        <w:t>CS/CS/CS/H</w:t>
      </w:r>
      <w:r w:rsidRPr="006B5DE3">
        <w:rPr>
          <w:rFonts w:cstheme="minorHAnsi"/>
          <w:bCs/>
          <w:szCs w:val="22"/>
        </w:rPr>
        <w:t xml:space="preserve">B </w:t>
      </w:r>
      <w:r>
        <w:rPr>
          <w:rFonts w:cstheme="minorHAnsi"/>
          <w:bCs/>
          <w:szCs w:val="22"/>
        </w:rPr>
        <w:t>1371</w:t>
      </w:r>
      <w:r w:rsidRPr="006B5DE3">
        <w:rPr>
          <w:rFonts w:cstheme="minorHAnsi"/>
          <w:bCs/>
          <w:szCs w:val="22"/>
        </w:rPr>
        <w:t xml:space="preserve"> (</w:t>
      </w:r>
      <w:r w:rsidRPr="00B61FCC">
        <w:rPr>
          <w:rFonts w:cstheme="minorHAnsi"/>
          <w:bCs/>
          <w:szCs w:val="22"/>
        </w:rPr>
        <w:t>Nix; Alvarez, D.; Abbott; Alvarez, J.; Anderson; Booth; Fabricio; Owen; Rizo</w:t>
      </w:r>
      <w:r w:rsidRPr="006B5DE3">
        <w:rPr>
          <w:rFonts w:cstheme="minorHAnsi"/>
          <w:bCs/>
          <w:szCs w:val="22"/>
        </w:rPr>
        <w:t>)).</w:t>
      </w:r>
      <w:r>
        <w:rPr>
          <w:rFonts w:cstheme="minorHAnsi"/>
          <w:bCs/>
          <w:szCs w:val="22"/>
        </w:rPr>
        <w:t xml:space="preserve"> </w:t>
      </w:r>
      <w:r w:rsidRPr="00B61FCC">
        <w:rPr>
          <w:rFonts w:cstheme="minorHAnsi"/>
          <w:bCs/>
          <w:szCs w:val="22"/>
        </w:rPr>
        <w:t>Creates</w:t>
      </w:r>
      <w:r>
        <w:rPr>
          <w:rFonts w:cstheme="minorHAnsi"/>
          <w:bCs/>
          <w:szCs w:val="22"/>
        </w:rPr>
        <w:t xml:space="preserve"> </w:t>
      </w:r>
      <w:r w:rsidRPr="00B61FCC">
        <w:rPr>
          <w:rFonts w:cstheme="minorHAnsi"/>
          <w:bCs/>
          <w:szCs w:val="22"/>
        </w:rPr>
        <w:t xml:space="preserve">s. 943.0413, F.S., which provides for the creation of a Critical Infrastructure Mapping Grant Program </w:t>
      </w:r>
      <w:r>
        <w:rPr>
          <w:rFonts w:cstheme="minorHAnsi"/>
          <w:bCs/>
          <w:szCs w:val="22"/>
        </w:rPr>
        <w:t xml:space="preserve">and provides that </w:t>
      </w:r>
      <w:r w:rsidRPr="00B61FCC">
        <w:rPr>
          <w:rFonts w:cstheme="minorHAnsi"/>
          <w:bCs/>
          <w:szCs w:val="22"/>
        </w:rPr>
        <w:t>any law enforcement agency, county, municipality, or other political subdivision of this state, or any agent thereof, which has constitutional or statutory authority to employ or appoint law enforcement officers is eligible to receive funding from the grant program</w:t>
      </w:r>
      <w:r>
        <w:rPr>
          <w:rFonts w:cstheme="minorHAnsi"/>
          <w:bCs/>
          <w:szCs w:val="22"/>
        </w:rPr>
        <w:t>.</w:t>
      </w:r>
    </w:p>
    <w:p w14:paraId="080A4344" w14:textId="59C69FA1" w:rsidR="00CC0861" w:rsidRDefault="00CC0861" w:rsidP="00CC0861">
      <w:pPr>
        <w:spacing w:after="120" w:line="276" w:lineRule="auto"/>
        <w:ind w:left="540"/>
        <w:jc w:val="both"/>
        <w:rPr>
          <w:rFonts w:cstheme="minorHAnsi"/>
          <w:bCs/>
          <w:szCs w:val="22"/>
        </w:rPr>
      </w:pPr>
      <w:r w:rsidRPr="006B5DE3">
        <w:rPr>
          <w:rFonts w:cstheme="minorHAnsi"/>
          <w:bCs/>
          <w:szCs w:val="22"/>
        </w:rPr>
        <w:t>Effective date: July 1, 2025</w:t>
      </w:r>
    </w:p>
    <w:p w14:paraId="6909CC72" w14:textId="1C14612E" w:rsidR="008423B7" w:rsidRPr="006B5DE3" w:rsidRDefault="6C6D6F58" w:rsidP="008423B7">
      <w:pPr>
        <w:pStyle w:val="H2"/>
        <w:spacing w:line="276" w:lineRule="auto"/>
      </w:pPr>
      <w:bookmarkStart w:id="18" w:name="_Toc205981725"/>
      <w:r>
        <w:t>Sewer Collection Systems</w:t>
      </w:r>
      <w:bookmarkEnd w:id="18"/>
    </w:p>
    <w:p w14:paraId="53359AD0" w14:textId="7099E22D" w:rsidR="008423B7" w:rsidRPr="006B5DE3" w:rsidRDefault="008423B7" w:rsidP="00C71059">
      <w:pPr>
        <w:spacing w:after="240" w:line="276" w:lineRule="auto"/>
        <w:ind w:left="540"/>
        <w:jc w:val="both"/>
        <w:rPr>
          <w:rFonts w:cstheme="minorHAnsi"/>
          <w:bCs/>
          <w:szCs w:val="22"/>
        </w:rPr>
      </w:pPr>
      <w:r w:rsidRPr="006B5DE3">
        <w:rPr>
          <w:rFonts w:cstheme="minorHAnsi"/>
          <w:bCs/>
          <w:szCs w:val="22"/>
        </w:rPr>
        <w:t>Chapter 2025-</w:t>
      </w:r>
      <w:r>
        <w:rPr>
          <w:rFonts w:cstheme="minorHAnsi"/>
          <w:bCs/>
          <w:szCs w:val="22"/>
        </w:rPr>
        <w:t>11</w:t>
      </w:r>
      <w:r w:rsidRPr="006B5DE3">
        <w:rPr>
          <w:rFonts w:cstheme="minorHAnsi"/>
          <w:bCs/>
          <w:szCs w:val="22"/>
        </w:rPr>
        <w:t>7, L.O.F., (</w:t>
      </w:r>
      <w:r>
        <w:rPr>
          <w:rFonts w:cstheme="minorHAnsi"/>
          <w:bCs/>
          <w:szCs w:val="22"/>
        </w:rPr>
        <w:t>H</w:t>
      </w:r>
      <w:r w:rsidRPr="006B5DE3">
        <w:rPr>
          <w:rFonts w:cstheme="minorHAnsi"/>
          <w:bCs/>
          <w:szCs w:val="22"/>
        </w:rPr>
        <w:t xml:space="preserve">B </w:t>
      </w:r>
      <w:r>
        <w:rPr>
          <w:rFonts w:cstheme="minorHAnsi"/>
          <w:bCs/>
          <w:szCs w:val="22"/>
        </w:rPr>
        <w:t>1123</w:t>
      </w:r>
      <w:r w:rsidRPr="006B5DE3">
        <w:rPr>
          <w:rFonts w:cstheme="minorHAnsi"/>
          <w:bCs/>
          <w:szCs w:val="22"/>
        </w:rPr>
        <w:t xml:space="preserve"> (</w:t>
      </w:r>
      <w:r w:rsidR="00CC0861" w:rsidRPr="00CC0861">
        <w:rPr>
          <w:rFonts w:cstheme="minorHAnsi"/>
          <w:bCs/>
          <w:szCs w:val="22"/>
        </w:rPr>
        <w:t>Cassel; Woodson; Conerly; López, J.</w:t>
      </w:r>
      <w:r w:rsidRPr="006B5DE3">
        <w:rPr>
          <w:rFonts w:cstheme="minorHAnsi"/>
          <w:bCs/>
          <w:szCs w:val="22"/>
        </w:rPr>
        <w:t>)).</w:t>
      </w:r>
      <w:r w:rsidR="00CC0861">
        <w:rPr>
          <w:rFonts w:cstheme="minorHAnsi"/>
          <w:bCs/>
          <w:szCs w:val="22"/>
        </w:rPr>
        <w:t xml:space="preserve"> </w:t>
      </w:r>
      <w:r w:rsidR="00CC0861" w:rsidRPr="00CC0861">
        <w:rPr>
          <w:rFonts w:cstheme="minorHAnsi"/>
          <w:bCs/>
          <w:szCs w:val="22"/>
        </w:rPr>
        <w:t xml:space="preserve">Creates s. 180.03(4), F.S., which </w:t>
      </w:r>
      <w:r w:rsidR="00CC0861">
        <w:rPr>
          <w:rFonts w:cstheme="minorHAnsi"/>
          <w:bCs/>
          <w:szCs w:val="22"/>
        </w:rPr>
        <w:t>provides that</w:t>
      </w:r>
      <w:r w:rsidR="00CC0861" w:rsidRPr="00CC0861">
        <w:rPr>
          <w:rFonts w:cstheme="minorHAnsi"/>
          <w:bCs/>
          <w:szCs w:val="22"/>
        </w:rPr>
        <w:t xml:space="preserve"> </w:t>
      </w:r>
      <w:r w:rsidR="00CC0861">
        <w:rPr>
          <w:rFonts w:cstheme="minorHAnsi"/>
          <w:bCs/>
          <w:szCs w:val="22"/>
        </w:rPr>
        <w:t>a</w:t>
      </w:r>
      <w:r w:rsidR="00CC0861" w:rsidRPr="00CC0861">
        <w:rPr>
          <w:rFonts w:cstheme="minorHAnsi"/>
          <w:bCs/>
          <w:szCs w:val="22"/>
        </w:rPr>
        <w:t xml:space="preserve"> municipality is authorized to utilize revenue generated by the municipality from operation of the municipality’s central sewage system for expansion of the central sewage system.</w:t>
      </w:r>
    </w:p>
    <w:p w14:paraId="01951BE0" w14:textId="46A57A2B" w:rsidR="008423B7" w:rsidRDefault="008423B7" w:rsidP="00C71059">
      <w:pPr>
        <w:spacing w:after="120" w:line="276" w:lineRule="auto"/>
        <w:ind w:left="540"/>
        <w:jc w:val="both"/>
        <w:rPr>
          <w:rFonts w:cstheme="minorHAnsi"/>
          <w:bCs/>
          <w:szCs w:val="22"/>
        </w:rPr>
      </w:pPr>
      <w:r w:rsidRPr="006B5DE3">
        <w:rPr>
          <w:rFonts w:cstheme="minorHAnsi"/>
          <w:bCs/>
          <w:szCs w:val="22"/>
        </w:rPr>
        <w:t>Effective date: July 1, 2025</w:t>
      </w:r>
    </w:p>
    <w:p w14:paraId="3F3F0BA4" w14:textId="77777777" w:rsidR="006563EE" w:rsidRPr="006B5DE3" w:rsidRDefault="6C6D6F58" w:rsidP="006563EE">
      <w:pPr>
        <w:pStyle w:val="H2"/>
        <w:spacing w:line="276" w:lineRule="auto"/>
      </w:pPr>
      <w:bookmarkStart w:id="19" w:name="_Toc204690115"/>
      <w:bookmarkStart w:id="20" w:name="_Toc205981726"/>
      <w:r>
        <w:t>Taxation</w:t>
      </w:r>
      <w:bookmarkEnd w:id="19"/>
      <w:bookmarkEnd w:id="20"/>
    </w:p>
    <w:p w14:paraId="70AE5D34" w14:textId="4B228375" w:rsidR="006563EE" w:rsidRPr="006B5DE3" w:rsidRDefault="006563EE" w:rsidP="006563EE">
      <w:pPr>
        <w:spacing w:line="276" w:lineRule="auto"/>
        <w:ind w:left="540"/>
        <w:jc w:val="both"/>
        <w:rPr>
          <w:rFonts w:cstheme="minorHAnsi"/>
          <w:bCs/>
          <w:szCs w:val="22"/>
        </w:rPr>
      </w:pPr>
      <w:r>
        <w:rPr>
          <w:rFonts w:cstheme="minorHAnsi"/>
          <w:bCs/>
          <w:szCs w:val="22"/>
        </w:rPr>
        <w:t>Ch. No. 2025-208, L.O.F., (HB 7031</w:t>
      </w:r>
      <w:r w:rsidR="00C71059">
        <w:rPr>
          <w:rFonts w:cstheme="minorHAnsi"/>
          <w:bCs/>
          <w:szCs w:val="22"/>
        </w:rPr>
        <w:t xml:space="preserve"> </w:t>
      </w:r>
      <w:r>
        <w:rPr>
          <w:rFonts w:cstheme="minorHAnsi"/>
          <w:bCs/>
          <w:szCs w:val="22"/>
        </w:rPr>
        <w:t>(Black; Chaney)</w:t>
      </w:r>
      <w:r w:rsidRPr="006B5DE3">
        <w:rPr>
          <w:rFonts w:cstheme="minorHAnsi"/>
          <w:bCs/>
          <w:szCs w:val="22"/>
        </w:rPr>
        <w:t>) is a comprehensive tax reform bill addressing various Florida statutes relating to tax and revenue. The following provisions are of note:</w:t>
      </w:r>
    </w:p>
    <w:p w14:paraId="6C3A90CB" w14:textId="05EE0E0B" w:rsidR="006563EE" w:rsidRPr="006B5DE3" w:rsidRDefault="006563EE" w:rsidP="006563EE">
      <w:pPr>
        <w:pStyle w:val="ListParagraph"/>
        <w:numPr>
          <w:ilvl w:val="0"/>
          <w:numId w:val="6"/>
        </w:numPr>
        <w:spacing w:line="276" w:lineRule="auto"/>
        <w:jc w:val="both"/>
        <w:rPr>
          <w:rFonts w:cstheme="minorHAnsi"/>
          <w:bCs/>
          <w:szCs w:val="22"/>
        </w:rPr>
      </w:pPr>
      <w:r w:rsidRPr="006B5DE3">
        <w:rPr>
          <w:rFonts w:cstheme="minorHAnsi"/>
          <w:bCs/>
          <w:szCs w:val="22"/>
        </w:rPr>
        <w:lastRenderedPageBreak/>
        <w:t>Affordable Housing Property Tax Exemption (owned by Not-for-Profits): Clarifies that owners of multifamily properties who currently receive a property tax exemption may continue to receive the exemption through an application process by either the current or successive owners of the property. Land that is assigned or subleased from a nonprofit entity to an extremely-low-income, very-low-income, low-income, or moderate-income person or persons as defined in s</w:t>
      </w:r>
      <w:r w:rsidR="00397DFD">
        <w:rPr>
          <w:rFonts w:cstheme="minorHAnsi"/>
          <w:bCs/>
          <w:szCs w:val="22"/>
        </w:rPr>
        <w:t>.</w:t>
      </w:r>
      <w:r w:rsidRPr="006B5DE3">
        <w:rPr>
          <w:rFonts w:cstheme="minorHAnsi"/>
          <w:bCs/>
          <w:szCs w:val="22"/>
        </w:rPr>
        <w:t xml:space="preserve"> 420.0004, </w:t>
      </w:r>
      <w:r w:rsidR="008E665E">
        <w:rPr>
          <w:rFonts w:cstheme="minorHAnsi"/>
          <w:bCs/>
          <w:szCs w:val="22"/>
        </w:rPr>
        <w:t>F.S.</w:t>
      </w:r>
      <w:r w:rsidRPr="006B5DE3">
        <w:rPr>
          <w:rFonts w:cstheme="minorHAnsi"/>
          <w:bCs/>
          <w:szCs w:val="22"/>
        </w:rPr>
        <w:t xml:space="preserve">, for such person’s or persons’ own use as affordable housing is exempt from ad valorem taxation. </w:t>
      </w:r>
    </w:p>
    <w:p w14:paraId="1DD1B429" w14:textId="689F7F96" w:rsidR="006563EE" w:rsidRPr="006B5DE3" w:rsidRDefault="006563EE" w:rsidP="006563EE">
      <w:pPr>
        <w:pStyle w:val="ListParagraph"/>
        <w:numPr>
          <w:ilvl w:val="0"/>
          <w:numId w:val="6"/>
        </w:numPr>
        <w:spacing w:line="276" w:lineRule="auto"/>
        <w:jc w:val="both"/>
        <w:rPr>
          <w:rFonts w:cstheme="minorHAnsi"/>
          <w:bCs/>
          <w:szCs w:val="22"/>
        </w:rPr>
      </w:pPr>
      <w:r w:rsidRPr="006B5DE3">
        <w:rPr>
          <w:rFonts w:cstheme="minorHAnsi"/>
          <w:bCs/>
          <w:szCs w:val="22"/>
        </w:rPr>
        <w:t>Affordable Housing Property Tax Exemption (owned by the State): For properties owned by the state, if portions of said properties are used to provide 70 units of affordable housing to low-income families as defined in s</w:t>
      </w:r>
      <w:r w:rsidR="00397DFD">
        <w:rPr>
          <w:rFonts w:cstheme="minorHAnsi"/>
          <w:bCs/>
          <w:szCs w:val="22"/>
        </w:rPr>
        <w:t>.</w:t>
      </w:r>
      <w:r w:rsidRPr="006B5DE3">
        <w:rPr>
          <w:rFonts w:cstheme="minorHAnsi"/>
          <w:bCs/>
          <w:szCs w:val="22"/>
        </w:rPr>
        <w:t xml:space="preserve"> 420.0004, </w:t>
      </w:r>
      <w:r w:rsidR="008E665E">
        <w:rPr>
          <w:rFonts w:cstheme="minorHAnsi"/>
          <w:bCs/>
          <w:szCs w:val="22"/>
        </w:rPr>
        <w:t>F.S.</w:t>
      </w:r>
      <w:r w:rsidRPr="006B5DE3">
        <w:rPr>
          <w:rFonts w:cstheme="minorHAnsi"/>
          <w:bCs/>
          <w:szCs w:val="22"/>
        </w:rPr>
        <w:t xml:space="preserve">, and the property is subject to restrictive uses by deed, then the property may be exempt from property taxes.  </w:t>
      </w:r>
    </w:p>
    <w:p w14:paraId="10F9387A" w14:textId="608979D4" w:rsidR="006563EE" w:rsidRPr="006B5DE3" w:rsidRDefault="006563EE" w:rsidP="006563EE">
      <w:pPr>
        <w:pStyle w:val="ListParagraph"/>
        <w:numPr>
          <w:ilvl w:val="0"/>
          <w:numId w:val="6"/>
        </w:numPr>
        <w:spacing w:line="276" w:lineRule="auto"/>
        <w:jc w:val="both"/>
        <w:rPr>
          <w:rFonts w:cstheme="minorHAnsi"/>
          <w:bCs/>
          <w:szCs w:val="22"/>
        </w:rPr>
      </w:pPr>
      <w:r w:rsidRPr="006B5DE3">
        <w:rPr>
          <w:rFonts w:cstheme="minorHAnsi"/>
          <w:bCs/>
          <w:szCs w:val="22"/>
        </w:rPr>
        <w:t>Gold Seal Quality Certified Child Care Facilities: Provides that any portion of real property used by a childcare facility that has achieved Gold Seal Quality status under s</w:t>
      </w:r>
      <w:r w:rsidR="00397DFD">
        <w:rPr>
          <w:rFonts w:cstheme="minorHAnsi"/>
          <w:bCs/>
          <w:szCs w:val="22"/>
        </w:rPr>
        <w:t>.</w:t>
      </w:r>
      <w:r w:rsidRPr="006B5DE3">
        <w:rPr>
          <w:rFonts w:cstheme="minorHAnsi"/>
          <w:bCs/>
          <w:szCs w:val="22"/>
        </w:rPr>
        <w:t xml:space="preserve"> 1002.945, </w:t>
      </w:r>
      <w:r w:rsidR="008E665E">
        <w:rPr>
          <w:rFonts w:cstheme="minorHAnsi"/>
          <w:bCs/>
          <w:szCs w:val="22"/>
        </w:rPr>
        <w:t>F.S.</w:t>
      </w:r>
      <w:r w:rsidRPr="006B5DE3">
        <w:rPr>
          <w:rFonts w:cstheme="minorHAnsi"/>
          <w:bCs/>
          <w:szCs w:val="22"/>
        </w:rPr>
        <w:t xml:space="preserve">, may qualify for an exemption from property taxes. </w:t>
      </w:r>
    </w:p>
    <w:p w14:paraId="43F860E9" w14:textId="77777777" w:rsidR="006563EE" w:rsidRPr="006B5DE3" w:rsidRDefault="006563EE" w:rsidP="006563EE">
      <w:pPr>
        <w:pStyle w:val="ListParagraph"/>
        <w:numPr>
          <w:ilvl w:val="0"/>
          <w:numId w:val="6"/>
        </w:numPr>
        <w:spacing w:line="276" w:lineRule="auto"/>
        <w:jc w:val="both"/>
        <w:rPr>
          <w:rFonts w:cstheme="minorHAnsi"/>
          <w:bCs/>
          <w:szCs w:val="22"/>
        </w:rPr>
      </w:pPr>
      <w:r w:rsidRPr="006B5DE3">
        <w:rPr>
          <w:rFonts w:cstheme="minorHAnsi"/>
          <w:bCs/>
          <w:szCs w:val="22"/>
        </w:rPr>
        <w:t xml:space="preserve">Communication Services Tax (Local): The local rates are frozen until 2031 and each municipality must prioritize the use of these funds to ensure the timely review and processing of right-of-way permits for communications service providers pursuant to federal and state law. </w:t>
      </w:r>
    </w:p>
    <w:p w14:paraId="2AAA9427" w14:textId="2D1E9315" w:rsidR="006563EE" w:rsidRPr="006B5DE3" w:rsidRDefault="006563EE" w:rsidP="006563EE">
      <w:pPr>
        <w:pStyle w:val="ListParagraph"/>
        <w:numPr>
          <w:ilvl w:val="0"/>
          <w:numId w:val="6"/>
        </w:numPr>
        <w:spacing w:line="276" w:lineRule="auto"/>
        <w:jc w:val="both"/>
        <w:rPr>
          <w:rFonts w:cstheme="minorHAnsi"/>
          <w:bCs/>
          <w:szCs w:val="22"/>
        </w:rPr>
      </w:pPr>
      <w:r w:rsidRPr="006B5DE3">
        <w:rPr>
          <w:rFonts w:cstheme="minorHAnsi"/>
          <w:bCs/>
          <w:szCs w:val="22"/>
        </w:rPr>
        <w:t>Business Rent Tax: This tax is eliminated by repeal of its governing law, s</w:t>
      </w:r>
      <w:r w:rsidR="00397DFD">
        <w:rPr>
          <w:rFonts w:cstheme="minorHAnsi"/>
          <w:bCs/>
          <w:szCs w:val="22"/>
        </w:rPr>
        <w:t>.</w:t>
      </w:r>
      <w:r w:rsidRPr="006B5DE3">
        <w:rPr>
          <w:rFonts w:cstheme="minorHAnsi"/>
          <w:bCs/>
          <w:szCs w:val="22"/>
        </w:rPr>
        <w:t xml:space="preserve"> 212.031, </w:t>
      </w:r>
      <w:r w:rsidR="008E665E">
        <w:rPr>
          <w:rFonts w:cstheme="minorHAnsi"/>
          <w:bCs/>
          <w:szCs w:val="22"/>
        </w:rPr>
        <w:t>F.S.</w:t>
      </w:r>
      <w:r w:rsidRPr="006B5DE3">
        <w:rPr>
          <w:rFonts w:cstheme="minorHAnsi"/>
          <w:bCs/>
          <w:szCs w:val="22"/>
        </w:rPr>
        <w:t xml:space="preserve">, effective October 1, 2025. </w:t>
      </w:r>
    </w:p>
    <w:p w14:paraId="0DCD1212" w14:textId="008C3564" w:rsidR="006563EE" w:rsidRDefault="006563EE" w:rsidP="00C71059">
      <w:pPr>
        <w:pStyle w:val="ListParagraph"/>
        <w:numPr>
          <w:ilvl w:val="0"/>
          <w:numId w:val="6"/>
        </w:numPr>
        <w:spacing w:after="240" w:line="276" w:lineRule="auto"/>
        <w:jc w:val="both"/>
        <w:rPr>
          <w:rFonts w:cstheme="minorHAnsi"/>
          <w:bCs/>
          <w:szCs w:val="22"/>
        </w:rPr>
      </w:pPr>
      <w:r w:rsidRPr="006B5DE3">
        <w:rPr>
          <w:rFonts w:cstheme="minorHAnsi"/>
          <w:bCs/>
          <w:szCs w:val="22"/>
        </w:rPr>
        <w:t>Creation of the Rural Community Investment Program: For entities that have invested $100 million or more in Rural Areas of Opportunity as defined by s</w:t>
      </w:r>
      <w:r w:rsidR="00397DFD">
        <w:rPr>
          <w:rFonts w:cstheme="minorHAnsi"/>
          <w:bCs/>
          <w:szCs w:val="22"/>
        </w:rPr>
        <w:t>.</w:t>
      </w:r>
      <w:r w:rsidRPr="006B5DE3">
        <w:rPr>
          <w:rFonts w:cstheme="minorHAnsi"/>
          <w:bCs/>
          <w:szCs w:val="22"/>
        </w:rPr>
        <w:t xml:space="preserve"> 288.0656, </w:t>
      </w:r>
      <w:r w:rsidR="008E665E">
        <w:rPr>
          <w:rFonts w:cstheme="minorHAnsi"/>
          <w:bCs/>
          <w:szCs w:val="22"/>
        </w:rPr>
        <w:t>F.S.</w:t>
      </w:r>
      <w:r w:rsidRPr="006B5DE3">
        <w:rPr>
          <w:rFonts w:cstheme="minorHAnsi"/>
          <w:bCs/>
          <w:szCs w:val="22"/>
        </w:rPr>
        <w:t xml:space="preserve">, may receive a tax credit capped at $7 million if specific parameters are met, including </w:t>
      </w:r>
      <w:r w:rsidR="00D8082E">
        <w:rPr>
          <w:rFonts w:cstheme="minorHAnsi"/>
          <w:bCs/>
          <w:szCs w:val="22"/>
        </w:rPr>
        <w:t>b</w:t>
      </w:r>
      <w:r w:rsidRPr="006B5DE3">
        <w:rPr>
          <w:rFonts w:cstheme="minorHAnsi"/>
          <w:bCs/>
          <w:szCs w:val="22"/>
        </w:rPr>
        <w:t xml:space="preserve">ut not limited to, job creation, or retention. </w:t>
      </w:r>
    </w:p>
    <w:p w14:paraId="06EFD8A4" w14:textId="77777777" w:rsidR="00D45277" w:rsidRPr="00D45277" w:rsidRDefault="00D45277" w:rsidP="00D45277">
      <w:pPr>
        <w:pStyle w:val="ListParagraph"/>
        <w:numPr>
          <w:ilvl w:val="0"/>
          <w:numId w:val="6"/>
        </w:numPr>
        <w:spacing w:after="240" w:line="276" w:lineRule="auto"/>
        <w:jc w:val="both"/>
        <w:rPr>
          <w:rFonts w:cstheme="minorHAnsi"/>
          <w:bCs/>
          <w:szCs w:val="22"/>
        </w:rPr>
      </w:pPr>
      <w:r w:rsidRPr="00D45277">
        <w:rPr>
          <w:rFonts w:cstheme="minorHAnsi"/>
          <w:bCs/>
          <w:szCs w:val="22"/>
        </w:rPr>
        <w:t>Extends the current freeze on rate increases for local communications services tax (CST) from January 1, 2026, to January 1, 2031.</w:t>
      </w:r>
    </w:p>
    <w:p w14:paraId="3A56C32D" w14:textId="77777777" w:rsidR="00D45277" w:rsidRPr="00D45277" w:rsidRDefault="00D45277" w:rsidP="00D45277">
      <w:pPr>
        <w:pStyle w:val="ListParagraph"/>
        <w:numPr>
          <w:ilvl w:val="0"/>
          <w:numId w:val="6"/>
        </w:numPr>
        <w:spacing w:after="240" w:line="276" w:lineRule="auto"/>
        <w:jc w:val="both"/>
        <w:rPr>
          <w:rFonts w:cstheme="minorHAnsi"/>
          <w:bCs/>
          <w:szCs w:val="22"/>
        </w:rPr>
      </w:pPr>
      <w:r w:rsidRPr="00D45277">
        <w:rPr>
          <w:rFonts w:cstheme="minorHAnsi"/>
          <w:bCs/>
          <w:szCs w:val="22"/>
        </w:rPr>
        <w:t>Requires local governments to prioritize the use of local CST revenue for the timely review, processing, and approval of permit applications for the use of rights-of-way by providers.</w:t>
      </w:r>
    </w:p>
    <w:p w14:paraId="2D8A66A5" w14:textId="77777777" w:rsidR="00D45277" w:rsidRPr="00D45277" w:rsidRDefault="00D45277" w:rsidP="00D45277">
      <w:pPr>
        <w:pStyle w:val="ListParagraph"/>
        <w:numPr>
          <w:ilvl w:val="0"/>
          <w:numId w:val="6"/>
        </w:numPr>
        <w:spacing w:after="240" w:line="276" w:lineRule="auto"/>
        <w:jc w:val="both"/>
        <w:rPr>
          <w:rFonts w:cstheme="minorHAnsi"/>
          <w:bCs/>
          <w:szCs w:val="22"/>
        </w:rPr>
      </w:pPr>
      <w:r w:rsidRPr="00D45277">
        <w:rPr>
          <w:rFonts w:cstheme="minorHAnsi"/>
          <w:bCs/>
          <w:szCs w:val="22"/>
        </w:rPr>
        <w:t>Allows fiscally constrained counties adjacent to the Gulf of America or the Atlantic Ocean to use tourist development tax (TDT) revenues for public facilities.</w:t>
      </w:r>
    </w:p>
    <w:p w14:paraId="3190A4DB" w14:textId="77777777" w:rsidR="00D45277" w:rsidRPr="00D45277" w:rsidRDefault="00D45277" w:rsidP="00D45277">
      <w:pPr>
        <w:pStyle w:val="ListParagraph"/>
        <w:numPr>
          <w:ilvl w:val="0"/>
          <w:numId w:val="6"/>
        </w:numPr>
        <w:spacing w:after="240" w:line="276" w:lineRule="auto"/>
        <w:jc w:val="both"/>
        <w:rPr>
          <w:rFonts w:cstheme="minorHAnsi"/>
          <w:bCs/>
          <w:szCs w:val="22"/>
        </w:rPr>
      </w:pPr>
      <w:r w:rsidRPr="00D45277">
        <w:rPr>
          <w:rFonts w:cstheme="minorHAnsi"/>
          <w:bCs/>
          <w:szCs w:val="22"/>
        </w:rPr>
        <w:t>Allows all counties adjacent to the Gulf of America or the Atlantic Ocean to use TDT revenues for beach lifeguards.</w:t>
      </w:r>
    </w:p>
    <w:p w14:paraId="15112207" w14:textId="77777777" w:rsidR="00D45277" w:rsidRPr="00D45277" w:rsidRDefault="00D45277" w:rsidP="00D45277">
      <w:pPr>
        <w:pStyle w:val="ListParagraph"/>
        <w:numPr>
          <w:ilvl w:val="0"/>
          <w:numId w:val="6"/>
        </w:numPr>
        <w:spacing w:after="240" w:line="276" w:lineRule="auto"/>
        <w:jc w:val="both"/>
        <w:rPr>
          <w:rFonts w:cstheme="minorHAnsi"/>
          <w:bCs/>
          <w:szCs w:val="22"/>
        </w:rPr>
      </w:pPr>
      <w:r w:rsidRPr="00D45277">
        <w:rPr>
          <w:rFonts w:cstheme="minorHAnsi"/>
          <w:bCs/>
          <w:szCs w:val="22"/>
        </w:rPr>
        <w:t>Allows counties and school boards to reduce or repeal certain local discretionary sales surtaxes in effect by a two-thirds vote.</w:t>
      </w:r>
    </w:p>
    <w:p w14:paraId="4D53306C" w14:textId="77777777" w:rsidR="00D45277" w:rsidRPr="00D45277" w:rsidRDefault="00D45277" w:rsidP="00D45277">
      <w:pPr>
        <w:pStyle w:val="ListParagraph"/>
        <w:numPr>
          <w:ilvl w:val="0"/>
          <w:numId w:val="6"/>
        </w:numPr>
        <w:spacing w:after="240" w:line="276" w:lineRule="auto"/>
        <w:jc w:val="both"/>
        <w:rPr>
          <w:rFonts w:cstheme="minorHAnsi"/>
          <w:bCs/>
          <w:szCs w:val="22"/>
        </w:rPr>
      </w:pPr>
      <w:r w:rsidRPr="00D45277">
        <w:rPr>
          <w:rFonts w:cstheme="minorHAnsi"/>
          <w:bCs/>
          <w:szCs w:val="22"/>
        </w:rPr>
        <w:t>Extends the timeframe for local incentive program benefits in enterprise zones to continue from December 31, 2025, to December 31, 2035, for multi-phase projects that vested on or before December 31, 2021.</w:t>
      </w:r>
    </w:p>
    <w:p w14:paraId="3D9ABC17" w14:textId="072D8406" w:rsidR="006563EE" w:rsidRPr="006B5DE3" w:rsidRDefault="006563EE" w:rsidP="001916B7">
      <w:pPr>
        <w:spacing w:after="120" w:line="276" w:lineRule="auto"/>
        <w:ind w:left="540"/>
        <w:jc w:val="both"/>
        <w:rPr>
          <w:rFonts w:cstheme="minorHAnsi"/>
          <w:bCs/>
          <w:szCs w:val="22"/>
        </w:rPr>
      </w:pPr>
      <w:r>
        <w:rPr>
          <w:rFonts w:cstheme="minorHAnsi"/>
          <w:b/>
          <w:bCs/>
          <w:szCs w:val="22"/>
        </w:rPr>
        <w:t>Effective date:</w:t>
      </w:r>
      <w:r>
        <w:rPr>
          <w:rFonts w:cstheme="minorHAnsi"/>
          <w:bCs/>
          <w:szCs w:val="22"/>
        </w:rPr>
        <w:t xml:space="preserve"> </w:t>
      </w:r>
      <w:r w:rsidR="00C71059">
        <w:rPr>
          <w:rFonts w:cstheme="minorHAnsi"/>
          <w:bCs/>
          <w:szCs w:val="22"/>
        </w:rPr>
        <w:t xml:space="preserve">July 1, 2025, </w:t>
      </w:r>
      <w:r>
        <w:rPr>
          <w:rFonts w:cstheme="minorHAnsi"/>
          <w:bCs/>
          <w:szCs w:val="22"/>
        </w:rPr>
        <w:t>except as otherwise expressly provided in th</w:t>
      </w:r>
      <w:r w:rsidR="00C71059">
        <w:rPr>
          <w:rFonts w:cstheme="minorHAnsi"/>
          <w:bCs/>
          <w:szCs w:val="22"/>
        </w:rPr>
        <w:t>e</w:t>
      </w:r>
      <w:r>
        <w:rPr>
          <w:rFonts w:cstheme="minorHAnsi"/>
          <w:bCs/>
          <w:szCs w:val="22"/>
        </w:rPr>
        <w:t xml:space="preserve"> </w:t>
      </w:r>
      <w:r w:rsidR="00C71059">
        <w:rPr>
          <w:rFonts w:cstheme="minorHAnsi"/>
          <w:bCs/>
          <w:szCs w:val="22"/>
        </w:rPr>
        <w:t>bill</w:t>
      </w:r>
      <w:r>
        <w:rPr>
          <w:rFonts w:cstheme="minorHAnsi"/>
          <w:bCs/>
          <w:szCs w:val="22"/>
        </w:rPr>
        <w:t>.</w:t>
      </w:r>
    </w:p>
    <w:p w14:paraId="1ACA21AF" w14:textId="076C8C44" w:rsidR="00B44296" w:rsidRPr="006B5DE3" w:rsidRDefault="6C6D6F58" w:rsidP="00B44296">
      <w:pPr>
        <w:pStyle w:val="H2"/>
        <w:spacing w:line="276" w:lineRule="auto"/>
      </w:pPr>
      <w:bookmarkStart w:id="21" w:name="_Toc172799402"/>
      <w:bookmarkStart w:id="22" w:name="_Toc172799513"/>
      <w:bookmarkStart w:id="23" w:name="_Toc172799582"/>
      <w:bookmarkStart w:id="24" w:name="_Toc172799715"/>
      <w:bookmarkStart w:id="25" w:name="_Toc172799797"/>
      <w:bookmarkStart w:id="26" w:name="_Toc172800206"/>
      <w:bookmarkStart w:id="27" w:name="_Toc172800275"/>
      <w:bookmarkStart w:id="28" w:name="_Toc172800343"/>
      <w:bookmarkStart w:id="29" w:name="_Toc172799403"/>
      <w:bookmarkStart w:id="30" w:name="_Toc172799514"/>
      <w:bookmarkStart w:id="31" w:name="_Toc172799583"/>
      <w:bookmarkStart w:id="32" w:name="_Toc172799716"/>
      <w:bookmarkStart w:id="33" w:name="_Toc172799798"/>
      <w:bookmarkStart w:id="34" w:name="_Toc172800207"/>
      <w:bookmarkStart w:id="35" w:name="_Toc172800276"/>
      <w:bookmarkStart w:id="36" w:name="_Toc172800344"/>
      <w:bookmarkStart w:id="37" w:name="_Toc20598172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lastRenderedPageBreak/>
        <w:t>Unlawful Demolition of Historical Buildings and Structures</w:t>
      </w:r>
      <w:bookmarkEnd w:id="37"/>
    </w:p>
    <w:p w14:paraId="05E09371" w14:textId="554CA374" w:rsidR="008423B7" w:rsidRPr="006B5DE3" w:rsidRDefault="00172773" w:rsidP="00C71059">
      <w:pPr>
        <w:spacing w:after="240" w:line="276" w:lineRule="auto"/>
        <w:ind w:left="540"/>
        <w:jc w:val="both"/>
        <w:rPr>
          <w:rFonts w:cstheme="minorHAnsi"/>
          <w:bCs/>
          <w:szCs w:val="22"/>
        </w:rPr>
      </w:pPr>
      <w:r w:rsidRPr="006B5DE3">
        <w:rPr>
          <w:rFonts w:cstheme="minorHAnsi"/>
          <w:bCs/>
          <w:szCs w:val="22"/>
        </w:rPr>
        <w:t>Chapter 2025-87, L.O.F., (SB 582 (Leek))</w:t>
      </w:r>
      <w:r w:rsidRPr="006B5DE3">
        <w:t xml:space="preserve"> a</w:t>
      </w:r>
      <w:r w:rsidRPr="006B5DE3">
        <w:rPr>
          <w:rFonts w:cstheme="minorHAnsi"/>
          <w:bCs/>
          <w:szCs w:val="22"/>
        </w:rPr>
        <w:t xml:space="preserve">uthorizes a code enforcement board or special magistrate to impose a fine that exceeds certain limits for the unlawful demolition of certain historical buildings or structures under certain circumstances; providing that such fine may not exceed </w:t>
      </w:r>
      <w:r w:rsidR="00361D9A" w:rsidRPr="006B5DE3">
        <w:rPr>
          <w:rFonts w:cstheme="minorHAnsi"/>
          <w:bCs/>
          <w:szCs w:val="22"/>
        </w:rPr>
        <w:t>20</w:t>
      </w:r>
      <w:r w:rsidRPr="006B5DE3">
        <w:rPr>
          <w:rFonts w:cstheme="minorHAnsi"/>
          <w:bCs/>
          <w:szCs w:val="22"/>
        </w:rPr>
        <w:t xml:space="preserve"> percent of </w:t>
      </w:r>
      <w:r w:rsidR="00361D9A" w:rsidRPr="006B5DE3">
        <w:rPr>
          <w:rFonts w:cstheme="minorHAnsi"/>
          <w:bCs/>
          <w:szCs w:val="22"/>
        </w:rPr>
        <w:t xml:space="preserve">the fair or </w:t>
      </w:r>
      <w:r w:rsidRPr="006B5DE3">
        <w:rPr>
          <w:rFonts w:cstheme="minorHAnsi"/>
          <w:bCs/>
          <w:szCs w:val="22"/>
        </w:rPr>
        <w:t>just market valu</w:t>
      </w:r>
      <w:r w:rsidR="00361D9A" w:rsidRPr="006B5DE3">
        <w:rPr>
          <w:rFonts w:cstheme="minorHAnsi"/>
          <w:bCs/>
          <w:szCs w:val="22"/>
        </w:rPr>
        <w:t>e of the property for the demolition of the building or structure</w:t>
      </w:r>
      <w:r w:rsidRPr="006B5DE3">
        <w:rPr>
          <w:rFonts w:cstheme="minorHAnsi"/>
          <w:bCs/>
          <w:szCs w:val="22"/>
        </w:rPr>
        <w:t>.</w:t>
      </w:r>
    </w:p>
    <w:p w14:paraId="3F1971E6" w14:textId="4775759F" w:rsidR="00376E50" w:rsidRPr="001916B7" w:rsidRDefault="00361D9A" w:rsidP="00C71059">
      <w:pPr>
        <w:spacing w:after="120" w:line="276" w:lineRule="auto"/>
        <w:ind w:left="540"/>
        <w:jc w:val="both"/>
        <w:rPr>
          <w:rFonts w:cstheme="minorHAnsi"/>
          <w:bCs/>
          <w:szCs w:val="22"/>
        </w:rPr>
      </w:pPr>
      <w:r w:rsidRPr="006B5DE3">
        <w:rPr>
          <w:rFonts w:cstheme="minorHAnsi"/>
          <w:bCs/>
          <w:szCs w:val="22"/>
        </w:rPr>
        <w:t>Effective date: July 1, 2025</w:t>
      </w:r>
    </w:p>
    <w:p w14:paraId="2B455668" w14:textId="52CCE548" w:rsidR="00376E50" w:rsidRPr="006B5DE3" w:rsidRDefault="6C6D6F58" w:rsidP="00B44296">
      <w:pPr>
        <w:pStyle w:val="H2"/>
        <w:spacing w:line="276" w:lineRule="auto"/>
      </w:pPr>
      <w:bookmarkStart w:id="38" w:name="_Toc205981728"/>
      <w:r>
        <w:t>Utility Relocation</w:t>
      </w:r>
      <w:bookmarkEnd w:id="38"/>
    </w:p>
    <w:p w14:paraId="25930EAA" w14:textId="48A2719A" w:rsidR="00361D9A" w:rsidRDefault="00361D9A" w:rsidP="00B44296">
      <w:pPr>
        <w:spacing w:line="276" w:lineRule="auto"/>
        <w:ind w:left="540"/>
        <w:jc w:val="both"/>
        <w:rPr>
          <w:rFonts w:cstheme="minorHAnsi"/>
          <w:bCs/>
          <w:szCs w:val="22"/>
        </w:rPr>
      </w:pPr>
      <w:r w:rsidRPr="006B5DE3">
        <w:rPr>
          <w:rFonts w:cstheme="minorHAnsi"/>
          <w:bCs/>
          <w:szCs w:val="22"/>
        </w:rPr>
        <w:t>Ch. 2025-122, L.O.F., (CS/HB 703 (Robinson W. and Barnaby) requires that a specified amount of communications services tax remittances be distributed by the Department of Revenue by a nonoperating transfer to the Department of Commerce in monthly installments to the Grants and Donations Trust Fund within the Department of Commerce for the Utility Relocation Reimbursement Grant Program; revising the percentage by which a certain amount transferred into the Local Government Half-cent Sales Tax Clearing Trust Fund must be reduced, beginning on a certain date; authorizing a service provider to apply to the Utility Relocation Reimbursement Grant Program for reimbursement of relocation expenses; creating the Utility Relocation Reimbursement Grant Program within the Department of Commerce; providing the purpose of the program; requiring the Department of Revenue to deposit certain proceeds into a specified trust fund to fund the program beginning on a certain date; providing an appropriation, etc. APPROPRIATION: $50,000,000</w:t>
      </w:r>
    </w:p>
    <w:p w14:paraId="3D953B25" w14:textId="5CDBBDDB" w:rsidR="00361D9A" w:rsidRDefault="00313048" w:rsidP="00361D9A">
      <w:pPr>
        <w:pStyle w:val="ListParagraph"/>
        <w:numPr>
          <w:ilvl w:val="0"/>
          <w:numId w:val="6"/>
        </w:numPr>
        <w:spacing w:line="276" w:lineRule="auto"/>
        <w:jc w:val="both"/>
        <w:rPr>
          <w:rFonts w:cstheme="minorHAnsi"/>
          <w:bCs/>
          <w:szCs w:val="22"/>
        </w:rPr>
      </w:pPr>
      <w:r>
        <w:rPr>
          <w:rFonts w:cstheme="minorHAnsi"/>
          <w:bCs/>
          <w:szCs w:val="22"/>
        </w:rPr>
        <w:t>If a county or municipal authority requires a provider of communications services (subject to Chapter 202) to relocate a facility used to provide such communications services, the service provider must initiate any necessary work upon notice from the authority.</w:t>
      </w:r>
    </w:p>
    <w:p w14:paraId="3A769F1C" w14:textId="7095B4DC" w:rsidR="00313048" w:rsidRDefault="00313048" w:rsidP="00361D9A">
      <w:pPr>
        <w:pStyle w:val="ListParagraph"/>
        <w:numPr>
          <w:ilvl w:val="0"/>
          <w:numId w:val="6"/>
        </w:numPr>
        <w:spacing w:line="276" w:lineRule="auto"/>
        <w:jc w:val="both"/>
        <w:rPr>
          <w:rFonts w:cstheme="minorHAnsi"/>
          <w:bCs/>
          <w:szCs w:val="22"/>
        </w:rPr>
      </w:pPr>
      <w:r>
        <w:rPr>
          <w:rFonts w:cstheme="minorHAnsi"/>
          <w:bCs/>
          <w:szCs w:val="22"/>
        </w:rPr>
        <w:t>The county or municipal authority is not responsible for paying the expense of such work, except as otherwise provided in this section</w:t>
      </w:r>
    </w:p>
    <w:p w14:paraId="096D9CB6" w14:textId="02733E52" w:rsidR="001916B7" w:rsidRPr="001916B7" w:rsidRDefault="00313048" w:rsidP="001916B7">
      <w:pPr>
        <w:pStyle w:val="ListParagraph"/>
        <w:numPr>
          <w:ilvl w:val="0"/>
          <w:numId w:val="6"/>
        </w:numPr>
        <w:spacing w:after="240" w:line="276" w:lineRule="auto"/>
        <w:jc w:val="both"/>
        <w:rPr>
          <w:rFonts w:cstheme="minorHAnsi"/>
          <w:bCs/>
          <w:szCs w:val="22"/>
        </w:rPr>
      </w:pPr>
      <w:r>
        <w:rPr>
          <w:rFonts w:cstheme="minorHAnsi"/>
          <w:bCs/>
          <w:szCs w:val="22"/>
        </w:rPr>
        <w:t>The service provider may apply for reimbursement of relocation expense from the Utility Relocation Reimbursement Grant Program</w:t>
      </w:r>
    </w:p>
    <w:p w14:paraId="3CD0A8D3" w14:textId="1A2A85F7" w:rsidR="006563EE" w:rsidRPr="006B5DE3" w:rsidRDefault="00361D9A" w:rsidP="001916B7">
      <w:pPr>
        <w:spacing w:after="120" w:line="276" w:lineRule="auto"/>
        <w:ind w:left="540"/>
        <w:jc w:val="both"/>
        <w:rPr>
          <w:rFonts w:cstheme="minorHAnsi"/>
          <w:bCs/>
          <w:szCs w:val="22"/>
        </w:rPr>
      </w:pPr>
      <w:r w:rsidRPr="006B5DE3">
        <w:rPr>
          <w:rFonts w:cstheme="minorHAnsi"/>
          <w:bCs/>
          <w:szCs w:val="22"/>
        </w:rPr>
        <w:t>Effect</w:t>
      </w:r>
      <w:r>
        <w:rPr>
          <w:rFonts w:cstheme="minorHAnsi"/>
          <w:bCs/>
          <w:szCs w:val="22"/>
        </w:rPr>
        <w:t>i</w:t>
      </w:r>
      <w:r w:rsidRPr="006B5DE3">
        <w:rPr>
          <w:rFonts w:cstheme="minorHAnsi"/>
          <w:bCs/>
          <w:szCs w:val="22"/>
        </w:rPr>
        <w:t xml:space="preserve">ve date: </w:t>
      </w:r>
      <w:r>
        <w:rPr>
          <w:rFonts w:cstheme="minorHAnsi"/>
          <w:bCs/>
          <w:szCs w:val="22"/>
        </w:rPr>
        <w:t>October 1, 2025</w:t>
      </w:r>
    </w:p>
    <w:p w14:paraId="2B36D190" w14:textId="77777777" w:rsidR="006563EE" w:rsidRDefault="6C6D6F58" w:rsidP="006563EE">
      <w:pPr>
        <w:pStyle w:val="H2"/>
        <w:spacing w:line="276" w:lineRule="auto"/>
      </w:pPr>
      <w:bookmarkStart w:id="39" w:name="_Toc205981729"/>
      <w:r>
        <w:t>Utility System Preemptions</w:t>
      </w:r>
      <w:bookmarkEnd w:id="39"/>
    </w:p>
    <w:p w14:paraId="66FAE774" w14:textId="2FD1971D" w:rsidR="006563EE" w:rsidRPr="00A30091" w:rsidRDefault="006563EE" w:rsidP="00C71059">
      <w:pPr>
        <w:spacing w:after="240"/>
        <w:ind w:left="540"/>
        <w:jc w:val="both"/>
      </w:pPr>
      <w:r w:rsidRPr="00A532F9">
        <w:rPr>
          <w:bCs/>
        </w:rPr>
        <w:t xml:space="preserve">Ch. </w:t>
      </w:r>
      <w:r w:rsidRPr="00A532F9">
        <w:t>202</w:t>
      </w:r>
      <w:r>
        <w:t>5</w:t>
      </w:r>
      <w:r w:rsidRPr="00A532F9">
        <w:t>-</w:t>
      </w:r>
      <w:r>
        <w:t>42</w:t>
      </w:r>
      <w:r w:rsidRPr="00A532F9">
        <w:rPr>
          <w:bCs/>
        </w:rPr>
        <w:t>, L.O.F.,</w:t>
      </w:r>
      <w:r w:rsidRPr="00A532F9">
        <w:rPr>
          <w:b/>
          <w:bCs/>
        </w:rPr>
        <w:t xml:space="preserve"> </w:t>
      </w:r>
      <w:r w:rsidRPr="00EC1AE6">
        <w:rPr>
          <w:color w:val="000000"/>
          <w:shd w:val="clear" w:color="auto" w:fill="FFFFFF"/>
        </w:rPr>
        <w:t>(</w:t>
      </w:r>
      <w:r w:rsidRPr="00EC1AE6">
        <w:t xml:space="preserve">CS/HB </w:t>
      </w:r>
      <w:r>
        <w:t>1137</w:t>
      </w:r>
      <w:r w:rsidRPr="00EC1AE6">
        <w:t xml:space="preserve"> (</w:t>
      </w:r>
      <w:r w:rsidRPr="006F7620">
        <w:t>Shoaf; Barnaby</w:t>
      </w:r>
      <w:r w:rsidRPr="00A30091">
        <w:t xml:space="preserve">)) </w:t>
      </w:r>
      <w:r>
        <w:t xml:space="preserve">Expands </w:t>
      </w:r>
      <w:r w:rsidR="00397DFD">
        <w:t xml:space="preserve">s. </w:t>
      </w:r>
      <w:r>
        <w:t xml:space="preserve">366.032, </w:t>
      </w:r>
      <w:r w:rsidR="008E665E">
        <w:t>F.S.</w:t>
      </w:r>
      <w:r>
        <w:t xml:space="preserve">, to add </w:t>
      </w:r>
      <w:r w:rsidRPr="00F94D07">
        <w:t>board</w:t>
      </w:r>
      <w:r>
        <w:t>s</w:t>
      </w:r>
      <w:r w:rsidRPr="00F94D07">
        <w:t>, agenc</w:t>
      </w:r>
      <w:r>
        <w:t>ies</w:t>
      </w:r>
      <w:r w:rsidRPr="00F94D07">
        <w:t>, commission</w:t>
      </w:r>
      <w:r>
        <w:t>s</w:t>
      </w:r>
      <w:r w:rsidRPr="00F94D07">
        <w:t>, or authorit</w:t>
      </w:r>
      <w:r>
        <w:t>ies</w:t>
      </w:r>
      <w:r w:rsidRPr="00F94D07">
        <w:t xml:space="preserve"> of any county, municipal corporation, or political subdivision</w:t>
      </w:r>
      <w:r>
        <w:t xml:space="preserve"> to the list of local governments that cannot prohibit a utility from using specific fuel sources and from restricting or prohibiting certain types of appliances.</w:t>
      </w:r>
    </w:p>
    <w:p w14:paraId="428E2BED" w14:textId="77777777" w:rsidR="006563EE" w:rsidRPr="00B44296" w:rsidRDefault="006563EE" w:rsidP="006563EE">
      <w:pPr>
        <w:spacing w:line="276" w:lineRule="auto"/>
        <w:ind w:left="540"/>
        <w:jc w:val="both"/>
        <w:rPr>
          <w:rFonts w:cstheme="minorHAnsi"/>
          <w:bCs/>
          <w:szCs w:val="22"/>
        </w:rPr>
      </w:pPr>
      <w:r w:rsidRPr="00B44296">
        <w:rPr>
          <w:rFonts w:cstheme="minorHAnsi"/>
          <w:bCs/>
          <w:szCs w:val="22"/>
        </w:rPr>
        <w:t xml:space="preserve">Effective date: </w:t>
      </w:r>
      <w:r>
        <w:t>July 1, 2025</w:t>
      </w:r>
      <w:r w:rsidRPr="00B44296">
        <w:rPr>
          <w:rFonts w:cstheme="minorHAnsi"/>
          <w:bCs/>
          <w:szCs w:val="22"/>
        </w:rPr>
        <w:t>.</w:t>
      </w:r>
    </w:p>
    <w:p w14:paraId="6337F451" w14:textId="77777777" w:rsidR="006563EE" w:rsidRDefault="006563EE" w:rsidP="006563EE">
      <w:pPr>
        <w:pStyle w:val="H2"/>
        <w:numPr>
          <w:ilvl w:val="0"/>
          <w:numId w:val="0"/>
        </w:numPr>
        <w:spacing w:line="276" w:lineRule="auto"/>
        <w:ind w:left="540"/>
      </w:pPr>
    </w:p>
    <w:p w14:paraId="32F92E4A" w14:textId="77777777" w:rsidR="00361D9A" w:rsidRDefault="00361D9A" w:rsidP="00B44296">
      <w:pPr>
        <w:spacing w:line="276" w:lineRule="auto"/>
        <w:ind w:left="540"/>
        <w:jc w:val="both"/>
        <w:rPr>
          <w:rFonts w:cstheme="minorHAnsi"/>
          <w:bCs/>
          <w:szCs w:val="22"/>
          <w:highlight w:val="yellow"/>
        </w:rPr>
      </w:pPr>
    </w:p>
    <w:p w14:paraId="45AF6C2A" w14:textId="122669A4" w:rsidR="009E0673" w:rsidRDefault="009E0673" w:rsidP="009E0673">
      <w:pPr>
        <w:spacing w:line="276" w:lineRule="auto"/>
        <w:ind w:left="360"/>
        <w:jc w:val="both"/>
        <w:rPr>
          <w:rFonts w:cstheme="minorHAnsi"/>
          <w:bCs/>
          <w:szCs w:val="22"/>
        </w:rPr>
      </w:pPr>
    </w:p>
    <w:p w14:paraId="79000AEF" w14:textId="68291B90" w:rsidR="00B44296" w:rsidRDefault="00B44296">
      <w:pPr>
        <w:spacing w:after="160" w:line="259" w:lineRule="auto"/>
        <w:rPr>
          <w:rFonts w:cstheme="minorHAnsi"/>
          <w:bCs/>
          <w:szCs w:val="22"/>
        </w:rPr>
      </w:pPr>
    </w:p>
    <w:p w14:paraId="358CCE9D" w14:textId="4354275A" w:rsidR="0091285F" w:rsidRPr="001622C9" w:rsidRDefault="6C6D6F58" w:rsidP="00902A0B">
      <w:pPr>
        <w:pStyle w:val="H1"/>
      </w:pPr>
      <w:bookmarkStart w:id="40" w:name="_Toc205981730"/>
      <w:bookmarkStart w:id="41" w:name="_Toc204690117"/>
      <w:r>
        <w:lastRenderedPageBreak/>
        <w:t>FAILED BILLS</w:t>
      </w:r>
      <w:bookmarkEnd w:id="40"/>
      <w:bookmarkEnd w:id="41"/>
    </w:p>
    <w:p w14:paraId="3963F7AD" w14:textId="77777777" w:rsidR="0091285F" w:rsidRPr="00B44296" w:rsidRDefault="0091285F" w:rsidP="0091285F">
      <w:pPr>
        <w:pStyle w:val="H2"/>
        <w:numPr>
          <w:ilvl w:val="0"/>
          <w:numId w:val="14"/>
        </w:numPr>
        <w:tabs>
          <w:tab w:val="num" w:pos="720"/>
        </w:tabs>
      </w:pPr>
      <w:bookmarkStart w:id="42" w:name="_Toc172800383"/>
      <w:bookmarkStart w:id="43" w:name="_Toc173240539"/>
      <w:bookmarkStart w:id="44" w:name="_Toc205981731"/>
      <w:r>
        <w:t>Clerks of the Circuit Court</w:t>
      </w:r>
      <w:bookmarkEnd w:id="42"/>
      <w:bookmarkEnd w:id="43"/>
    </w:p>
    <w:p w14:paraId="61B6650F" w14:textId="00846EA4" w:rsidR="6C6D6F58" w:rsidRPr="00C221C1" w:rsidRDefault="0091285F" w:rsidP="00C75E84">
      <w:pPr>
        <w:pStyle w:val="H2"/>
        <w:numPr>
          <w:ilvl w:val="0"/>
          <w:numId w:val="0"/>
        </w:numPr>
        <w:tabs>
          <w:tab w:val="num" w:pos="720"/>
        </w:tabs>
        <w:spacing w:after="120"/>
        <w:ind w:left="540"/>
        <w:jc w:val="both"/>
        <w:rPr>
          <w:rFonts w:asciiTheme="minorHAnsi" w:eastAsia="Times New Roman" w:hAnsiTheme="minorHAnsi" w:cs="Times New Roman"/>
          <w:b w:val="0"/>
          <w:color w:val="auto"/>
          <w:sz w:val="22"/>
        </w:rPr>
      </w:pPr>
      <w:r w:rsidRPr="00C75E84">
        <w:rPr>
          <w:rFonts w:asciiTheme="minorHAnsi" w:eastAsia="Times New Roman" w:hAnsiTheme="minorHAnsi" w:cs="Times New Roman"/>
          <w:b w:val="0"/>
          <w:color w:val="auto"/>
          <w:sz w:val="22"/>
        </w:rPr>
        <w:t>SB 730 (Marin) would have designated all Clerks of Courts as “County Auditor” and “County Inspector General” with authority to audit the county and municipalities, school boards, or other political subdivisions within the county.  The bill would have given the Clerk broad powers, including subpoena power.</w:t>
      </w:r>
      <w:bookmarkEnd w:id="44"/>
    </w:p>
    <w:p w14:paraId="34BD1B6A" w14:textId="1391A160" w:rsidR="00B44296" w:rsidRPr="00B44296" w:rsidRDefault="00EB1D2B" w:rsidP="00B44296">
      <w:pPr>
        <w:pStyle w:val="H2"/>
      </w:pPr>
      <w:bookmarkStart w:id="45" w:name="_Toc205981733"/>
      <w:r w:rsidRPr="003932E2">
        <w:t>Contracting with Foreign Countries of Concern</w:t>
      </w:r>
      <w:bookmarkEnd w:id="45"/>
    </w:p>
    <w:p w14:paraId="740254D8" w14:textId="220B1E7D" w:rsidR="6C6D6F58" w:rsidRPr="005D0ED3" w:rsidRDefault="00346C04" w:rsidP="00137E1C">
      <w:pPr>
        <w:pStyle w:val="H2"/>
        <w:numPr>
          <w:ilvl w:val="0"/>
          <w:numId w:val="0"/>
        </w:numPr>
        <w:tabs>
          <w:tab w:val="num" w:pos="720"/>
        </w:tabs>
        <w:spacing w:after="120"/>
        <w:ind w:left="540"/>
        <w:jc w:val="both"/>
      </w:pPr>
      <w:bookmarkStart w:id="46" w:name="_Toc205981734"/>
      <w:r w:rsidRPr="00346C04">
        <w:rPr>
          <w:rFonts w:asciiTheme="minorHAnsi" w:eastAsia="Times New Roman" w:hAnsiTheme="minorHAnsi" w:cs="Times New Roman"/>
          <w:b w:val="0"/>
          <w:color w:val="auto"/>
          <w:sz w:val="22"/>
        </w:rPr>
        <w:t xml:space="preserve">HB </w:t>
      </w:r>
      <w:r w:rsidRPr="005D0ED3">
        <w:rPr>
          <w:rFonts w:asciiTheme="minorHAnsi" w:eastAsia="Times New Roman" w:hAnsiTheme="minorHAnsi" w:cs="Times New Roman"/>
          <w:b w:val="0"/>
          <w:color w:val="auto"/>
          <w:sz w:val="22"/>
        </w:rPr>
        <w:t xml:space="preserve">977 (Greco) and SB 1538 (Collins) </w:t>
      </w:r>
      <w:r w:rsidR="00720A69" w:rsidRPr="005D0ED3">
        <w:rPr>
          <w:rFonts w:asciiTheme="minorHAnsi" w:eastAsia="Times New Roman" w:hAnsiTheme="minorHAnsi" w:cs="Times New Roman"/>
          <w:b w:val="0"/>
          <w:color w:val="auto"/>
          <w:sz w:val="22"/>
        </w:rPr>
        <w:t>would have</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prohibited governmental entities from entering into a contract to purchase computers, printers, or videoconferencing devices if the foreign country of concern has ownership in the manufacturer or its affiliates. The bills also would have required governmental entities to require each entity that submits a bid or proposal to provide goods or services to sign an affidavit that testified that there was no ownership interest by a government of a foreign country of concern in the entity, subsidiary, or parent company of the entity.</w:t>
      </w:r>
      <w:bookmarkEnd w:id="46"/>
    </w:p>
    <w:p w14:paraId="13F8DDC3" w14:textId="2A1F8554" w:rsidR="00EB1D2B" w:rsidRPr="005D0ED3" w:rsidRDefault="00EB1D2B" w:rsidP="00137E1C">
      <w:pPr>
        <w:pStyle w:val="H2"/>
        <w:jc w:val="both"/>
      </w:pPr>
      <w:bookmarkStart w:id="47" w:name="_Toc205981735"/>
      <w:bookmarkStart w:id="48" w:name="_Toc172800386"/>
      <w:bookmarkStart w:id="49" w:name="_Toc204690120"/>
      <w:r w:rsidRPr="005D0ED3">
        <w:t>Community Redevelopment Agencies</w:t>
      </w:r>
      <w:bookmarkEnd w:id="47"/>
    </w:p>
    <w:p w14:paraId="4D6033AB" w14:textId="24B5C267" w:rsidR="00EB1D2B" w:rsidRPr="005D0ED3" w:rsidRDefault="00346C04" w:rsidP="00137E1C">
      <w:pPr>
        <w:pStyle w:val="H2"/>
        <w:numPr>
          <w:ilvl w:val="0"/>
          <w:numId w:val="0"/>
        </w:numPr>
        <w:tabs>
          <w:tab w:val="num" w:pos="720"/>
        </w:tabs>
        <w:spacing w:after="120"/>
        <w:ind w:left="540"/>
        <w:jc w:val="both"/>
        <w:rPr>
          <w:rFonts w:asciiTheme="minorHAnsi" w:eastAsia="Times New Roman" w:hAnsiTheme="minorHAnsi" w:cs="Times New Roman"/>
          <w:b w:val="0"/>
          <w:color w:val="auto"/>
          <w:sz w:val="22"/>
        </w:rPr>
      </w:pPr>
      <w:bookmarkStart w:id="50" w:name="_Toc205981736"/>
      <w:r w:rsidRPr="005D0ED3">
        <w:rPr>
          <w:rFonts w:asciiTheme="minorHAnsi" w:eastAsia="Times New Roman" w:hAnsiTheme="minorHAnsi" w:cs="Times New Roman"/>
          <w:b w:val="0"/>
          <w:color w:val="auto"/>
          <w:sz w:val="22"/>
        </w:rPr>
        <w:t>CS/CS/HB 991 (Giallombardo) and CS/SB 1242 (McClain)</w:t>
      </w:r>
      <w:r w:rsidR="00720A69" w:rsidRPr="005D0ED3">
        <w:rPr>
          <w:rFonts w:asciiTheme="minorHAnsi" w:eastAsia="Times New Roman" w:hAnsiTheme="minorHAnsi" w:cs="Times New Roman"/>
          <w:b w:val="0"/>
          <w:color w:val="auto"/>
          <w:sz w:val="22"/>
        </w:rPr>
        <w:t xml:space="preserve"> would have</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significantly restricted the authority and long-term viability of Community Redevelopment Agencies (CRAs) and included law changes affecting CRA boundaries</w:t>
      </w:r>
      <w:r w:rsidR="003C66C9">
        <w:rPr>
          <w:rFonts w:asciiTheme="minorHAnsi" w:eastAsia="Times New Roman" w:hAnsiTheme="minorHAnsi" w:cs="Times New Roman"/>
          <w:b w:val="0"/>
          <w:color w:val="auto"/>
          <w:sz w:val="22"/>
        </w:rPr>
        <w:t>, long-term debt,</w:t>
      </w:r>
      <w:r w:rsidRPr="005D0ED3">
        <w:rPr>
          <w:rFonts w:asciiTheme="minorHAnsi" w:eastAsia="Times New Roman" w:hAnsiTheme="minorHAnsi" w:cs="Times New Roman"/>
          <w:b w:val="0"/>
          <w:color w:val="auto"/>
          <w:sz w:val="22"/>
        </w:rPr>
        <w:t xml:space="preserve"> and expenditures.</w:t>
      </w:r>
      <w:bookmarkEnd w:id="50"/>
      <w:r w:rsidR="00C75E84">
        <w:rPr>
          <w:rFonts w:asciiTheme="minorHAnsi" w:eastAsia="Times New Roman" w:hAnsiTheme="minorHAnsi" w:cs="Times New Roman"/>
          <w:b w:val="0"/>
          <w:color w:val="auto"/>
          <w:sz w:val="22"/>
        </w:rPr>
        <w:t xml:space="preserve">  The bills </w:t>
      </w:r>
      <w:r w:rsidR="00C75E84" w:rsidRPr="00902A0B">
        <w:rPr>
          <w:rFonts w:asciiTheme="minorHAnsi" w:eastAsia="Times New Roman" w:hAnsiTheme="minorHAnsi" w:cs="Times New Roman"/>
          <w:b w:val="0"/>
          <w:color w:val="auto"/>
          <w:sz w:val="22"/>
        </w:rPr>
        <w:t xml:space="preserve">would have prohibited creation of new community redevelopment agencies </w:t>
      </w:r>
      <w:r w:rsidR="00147239">
        <w:rPr>
          <w:rFonts w:asciiTheme="minorHAnsi" w:eastAsia="Times New Roman" w:hAnsiTheme="minorHAnsi" w:cs="Times New Roman"/>
          <w:b w:val="0"/>
          <w:color w:val="auto"/>
          <w:sz w:val="22"/>
        </w:rPr>
        <w:t xml:space="preserve">on or after a certain specified date </w:t>
      </w:r>
      <w:r w:rsidR="00303917">
        <w:rPr>
          <w:rFonts w:asciiTheme="minorHAnsi" w:eastAsia="Times New Roman" w:hAnsiTheme="minorHAnsi" w:cs="Times New Roman"/>
          <w:b w:val="0"/>
          <w:color w:val="auto"/>
          <w:sz w:val="22"/>
        </w:rPr>
        <w:t xml:space="preserve">unless certain requirements are met </w:t>
      </w:r>
      <w:r w:rsidR="00C75E84" w:rsidRPr="00902A0B">
        <w:rPr>
          <w:rFonts w:asciiTheme="minorHAnsi" w:eastAsia="Times New Roman" w:hAnsiTheme="minorHAnsi" w:cs="Times New Roman"/>
          <w:b w:val="0"/>
          <w:color w:val="auto"/>
          <w:sz w:val="22"/>
        </w:rPr>
        <w:t>and would have abolished all CRAs by a sunset date of September 30, 2045, or the date that all debt is extinguished, whichever occurred first.</w:t>
      </w:r>
    </w:p>
    <w:p w14:paraId="3EC64603" w14:textId="77777777" w:rsidR="0091285F" w:rsidRPr="00B44296" w:rsidRDefault="0091285F" w:rsidP="0091285F">
      <w:pPr>
        <w:pStyle w:val="H2"/>
      </w:pPr>
      <w:bookmarkStart w:id="51" w:name="_Toc172800385"/>
      <w:bookmarkStart w:id="52" w:name="_Toc173240540"/>
      <w:bookmarkStart w:id="53" w:name="_Toc205981737"/>
      <w:bookmarkEnd w:id="48"/>
      <w:bookmarkEnd w:id="49"/>
      <w:r w:rsidRPr="00B44296">
        <w:t>C</w:t>
      </w:r>
      <w:r>
        <w:t>ommunity Redevelopment Plans</w:t>
      </w:r>
      <w:bookmarkEnd w:id="51"/>
      <w:bookmarkEnd w:id="52"/>
    </w:p>
    <w:p w14:paraId="03C8C70D" w14:textId="5778AA25" w:rsidR="0091285F" w:rsidRPr="00C75E84" w:rsidRDefault="0091285F" w:rsidP="00C75E84">
      <w:pPr>
        <w:pStyle w:val="H2"/>
        <w:numPr>
          <w:ilvl w:val="0"/>
          <w:numId w:val="0"/>
        </w:numPr>
        <w:tabs>
          <w:tab w:val="num" w:pos="720"/>
        </w:tabs>
        <w:spacing w:after="120"/>
        <w:ind w:left="540"/>
        <w:jc w:val="both"/>
        <w:rPr>
          <w:rFonts w:asciiTheme="minorHAnsi" w:eastAsia="Times New Roman" w:hAnsiTheme="minorHAnsi" w:cs="Times New Roman"/>
          <w:b w:val="0"/>
          <w:color w:val="auto"/>
          <w:sz w:val="22"/>
        </w:rPr>
      </w:pPr>
      <w:r w:rsidRPr="00C75E84">
        <w:rPr>
          <w:rFonts w:asciiTheme="minorHAnsi" w:eastAsia="Times New Roman" w:hAnsiTheme="minorHAnsi" w:cs="Times New Roman"/>
          <w:b w:val="0"/>
          <w:color w:val="auto"/>
          <w:sz w:val="22"/>
        </w:rPr>
        <w:t>HB 363 (Aristide) would have authorized community redevelopment agencies to use specified percentage of tax increment financing funds for certain business support services in carrying out approved community redevelopment plans.</w:t>
      </w:r>
    </w:p>
    <w:p w14:paraId="1DBBC6B1" w14:textId="50C3D4D5" w:rsidR="00B44296" w:rsidRPr="005D0ED3" w:rsidRDefault="00EB1D2B" w:rsidP="00137E1C">
      <w:pPr>
        <w:pStyle w:val="H2"/>
        <w:jc w:val="both"/>
      </w:pPr>
      <w:r w:rsidRPr="005D0ED3">
        <w:t>Communication Services Tax</w:t>
      </w:r>
      <w:bookmarkEnd w:id="53"/>
    </w:p>
    <w:p w14:paraId="2E8C93A5" w14:textId="6BF5BE00" w:rsidR="00EB1D2B" w:rsidRPr="005D0ED3" w:rsidRDefault="00346C04" w:rsidP="00137E1C">
      <w:pPr>
        <w:pStyle w:val="H2"/>
        <w:numPr>
          <w:ilvl w:val="0"/>
          <w:numId w:val="0"/>
        </w:numPr>
        <w:spacing w:after="120"/>
        <w:ind w:left="540"/>
        <w:jc w:val="both"/>
      </w:pPr>
      <w:bookmarkStart w:id="54" w:name="_Toc205981738"/>
      <w:r w:rsidRPr="005D0ED3">
        <w:rPr>
          <w:rFonts w:asciiTheme="minorHAnsi" w:eastAsia="Times New Roman" w:hAnsiTheme="minorHAnsi" w:cs="Times New Roman"/>
          <w:b w:val="0"/>
          <w:color w:val="auto"/>
          <w:sz w:val="22"/>
        </w:rPr>
        <w:t>SB 1352 (Trumbull)</w:t>
      </w:r>
      <w:r w:rsidR="00720A69" w:rsidRPr="005D0ED3">
        <w:rPr>
          <w:rFonts w:asciiTheme="minorHAnsi" w:eastAsia="Times New Roman" w:hAnsiTheme="minorHAnsi" w:cs="Times New Roman"/>
          <w:b w:val="0"/>
          <w:color w:val="auto"/>
          <w:sz w:val="22"/>
        </w:rPr>
        <w:t xml:space="preserve"> would have</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prohibited increasing local Communication Service Tax (CST) rates until January 1, 203</w:t>
      </w:r>
      <w:r w:rsidR="003C66C9">
        <w:rPr>
          <w:rFonts w:asciiTheme="minorHAnsi" w:eastAsia="Times New Roman" w:hAnsiTheme="minorHAnsi" w:cs="Times New Roman"/>
          <w:b w:val="0"/>
          <w:color w:val="auto"/>
          <w:sz w:val="22"/>
        </w:rPr>
        <w:t>1</w:t>
      </w:r>
      <w:r w:rsidR="00137E1C" w:rsidRPr="005D0ED3">
        <w:rPr>
          <w:rFonts w:asciiTheme="minorHAnsi" w:eastAsia="Times New Roman" w:hAnsiTheme="minorHAnsi" w:cs="Times New Roman"/>
          <w:b w:val="0"/>
          <w:color w:val="auto"/>
          <w:sz w:val="22"/>
        </w:rPr>
        <w:t>, and</w:t>
      </w:r>
      <w:r w:rsidRPr="005D0ED3">
        <w:rPr>
          <w:rFonts w:asciiTheme="minorHAnsi" w:eastAsia="Times New Roman" w:hAnsiTheme="minorHAnsi" w:cs="Times New Roman"/>
          <w:b w:val="0"/>
          <w:color w:val="auto"/>
          <w:sz w:val="22"/>
        </w:rPr>
        <w:t xml:space="preserve"> included speci</w:t>
      </w:r>
      <w:r w:rsidR="00137E1C" w:rsidRPr="005D0ED3">
        <w:rPr>
          <w:rFonts w:asciiTheme="minorHAnsi" w:eastAsia="Times New Roman" w:hAnsiTheme="minorHAnsi" w:cs="Times New Roman"/>
          <w:b w:val="0"/>
          <w:color w:val="auto"/>
          <w:sz w:val="22"/>
        </w:rPr>
        <w:t>f</w:t>
      </w:r>
      <w:r w:rsidRPr="005D0ED3">
        <w:rPr>
          <w:rFonts w:asciiTheme="minorHAnsi" w:eastAsia="Times New Roman" w:hAnsiTheme="minorHAnsi" w:cs="Times New Roman"/>
          <w:b w:val="0"/>
          <w:color w:val="auto"/>
          <w:sz w:val="22"/>
        </w:rPr>
        <w:t>ic exemptions for CST if the equipment is being used in recovery efforts following a disaster or to provide services in unserved areas of the state.</w:t>
      </w:r>
      <w:bookmarkEnd w:id="54"/>
    </w:p>
    <w:p w14:paraId="5EFA4950" w14:textId="77777777" w:rsidR="0091285F" w:rsidRPr="00B44296" w:rsidRDefault="0091285F" w:rsidP="0091285F">
      <w:pPr>
        <w:pStyle w:val="H2"/>
      </w:pPr>
      <w:bookmarkStart w:id="55" w:name="_Toc205981739"/>
      <w:r>
        <w:t>Cybersecurity Incident Liability</w:t>
      </w:r>
    </w:p>
    <w:p w14:paraId="33594403" w14:textId="0C39AD06" w:rsidR="00813CDC" w:rsidRDefault="0091285F" w:rsidP="00860085">
      <w:pPr>
        <w:pStyle w:val="H2"/>
        <w:numPr>
          <w:ilvl w:val="0"/>
          <w:numId w:val="0"/>
        </w:numPr>
        <w:spacing w:after="120"/>
        <w:ind w:left="540"/>
        <w:jc w:val="both"/>
        <w:rPr>
          <w:rFonts w:asciiTheme="minorHAnsi" w:eastAsia="Times New Roman" w:hAnsiTheme="minorHAnsi" w:cs="Times New Roman"/>
          <w:b w:val="0"/>
          <w:color w:val="auto"/>
          <w:sz w:val="22"/>
        </w:rPr>
      </w:pPr>
      <w:r w:rsidRPr="00064429">
        <w:rPr>
          <w:rFonts w:asciiTheme="minorHAnsi" w:eastAsia="Times New Roman" w:hAnsiTheme="minorHAnsi" w:cs="Times New Roman"/>
          <w:b w:val="0"/>
          <w:color w:val="auto"/>
          <w:sz w:val="22"/>
        </w:rPr>
        <w:t>CS/CS/HB 1183 (Giallombardo) and SB 1576 (DiCeglie) would have exempted counties, municipalities, and political subdivisions of the state from liability in connection with a cybersecurity incident if the local entity has implemented one or more policies that substantially comply with cybersecurity standards or align with cybersecurity frameworks, disaster recovery plans for cybersecurity incidents, and multi-factor authentication.</w:t>
      </w:r>
    </w:p>
    <w:p w14:paraId="79C25039" w14:textId="2184925A" w:rsidR="00EB1D2B" w:rsidRPr="005D0ED3" w:rsidRDefault="00EB1D2B" w:rsidP="00064429">
      <w:pPr>
        <w:pStyle w:val="H2"/>
        <w:tabs>
          <w:tab w:val="left" w:pos="540"/>
        </w:tabs>
      </w:pPr>
      <w:r w:rsidRPr="005D0ED3">
        <w:t>Emergencies</w:t>
      </w:r>
      <w:bookmarkEnd w:id="55"/>
    </w:p>
    <w:p w14:paraId="1BB36727" w14:textId="666824D5" w:rsidR="00D43993" w:rsidRDefault="00137E1C" w:rsidP="008747CA">
      <w:pPr>
        <w:pStyle w:val="H2"/>
        <w:numPr>
          <w:ilvl w:val="0"/>
          <w:numId w:val="0"/>
        </w:numPr>
        <w:spacing w:after="120"/>
        <w:ind w:left="540"/>
        <w:jc w:val="both"/>
        <w:rPr>
          <w:rFonts w:asciiTheme="minorHAnsi" w:eastAsia="Times New Roman" w:hAnsiTheme="minorHAnsi" w:cs="Times New Roman"/>
          <w:b w:val="0"/>
          <w:color w:val="auto"/>
          <w:sz w:val="22"/>
        </w:rPr>
      </w:pPr>
      <w:bookmarkStart w:id="56" w:name="_Toc205981740"/>
      <w:r w:rsidRPr="005D0ED3">
        <w:rPr>
          <w:rFonts w:asciiTheme="minorHAnsi" w:eastAsia="Times New Roman" w:hAnsiTheme="minorHAnsi" w:cs="Times New Roman"/>
          <w:b w:val="0"/>
          <w:color w:val="auto"/>
          <w:sz w:val="22"/>
        </w:rPr>
        <w:lastRenderedPageBreak/>
        <w:t>CS/CS/CS/HB 1535 (McFarland)</w:t>
      </w:r>
      <w:r w:rsidR="00720A69" w:rsidRPr="005D0ED3">
        <w:rPr>
          <w:rFonts w:asciiTheme="minorHAnsi" w:eastAsia="Times New Roman" w:hAnsiTheme="minorHAnsi" w:cs="Times New Roman"/>
          <w:b w:val="0"/>
          <w:color w:val="auto"/>
          <w:sz w:val="22"/>
        </w:rPr>
        <w:t xml:space="preserve"> would have</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introduced changes to emergency management laws, imposed new restrictions on local governments regarding floodplain management, impact fees, disaster recovery processes, and emergency response coordination.  Additionally, the bill would have prohibited local governments, school districts, and special districts from charging impact fees for the reconstruction or replacement of a previously existing structure if the replacement maintained the same land use and did not increase the impact on public facilities beyond that of the original structure.</w:t>
      </w:r>
      <w:bookmarkEnd w:id="56"/>
    </w:p>
    <w:p w14:paraId="4459EFC6" w14:textId="77777777" w:rsidR="0080254B" w:rsidRPr="005D0ED3" w:rsidRDefault="0080254B" w:rsidP="008747CA">
      <w:pPr>
        <w:pStyle w:val="H2"/>
        <w:numPr>
          <w:ilvl w:val="0"/>
          <w:numId w:val="0"/>
        </w:numPr>
        <w:spacing w:after="120"/>
        <w:ind w:left="540"/>
        <w:jc w:val="both"/>
        <w:rPr>
          <w:rFonts w:asciiTheme="minorHAnsi" w:eastAsia="Times New Roman" w:hAnsiTheme="minorHAnsi" w:cs="Times New Roman"/>
          <w:b w:val="0"/>
          <w:color w:val="auto"/>
          <w:sz w:val="22"/>
        </w:rPr>
      </w:pPr>
    </w:p>
    <w:p w14:paraId="0A031659" w14:textId="4400A561" w:rsidR="00992B07" w:rsidRPr="005D0ED3" w:rsidRDefault="00992B07" w:rsidP="00137E1C">
      <w:pPr>
        <w:pStyle w:val="H2"/>
        <w:jc w:val="both"/>
      </w:pPr>
      <w:bookmarkStart w:id="57" w:name="_Toc205981741"/>
      <w:r w:rsidRPr="005D0ED3">
        <w:t>Homestead Property Assessments</w:t>
      </w:r>
      <w:bookmarkEnd w:id="57"/>
    </w:p>
    <w:p w14:paraId="337D1CCA" w14:textId="47329C0B" w:rsidR="00992B07" w:rsidRPr="005D0ED3" w:rsidRDefault="00137E1C" w:rsidP="0024038D">
      <w:pPr>
        <w:pStyle w:val="H2"/>
        <w:numPr>
          <w:ilvl w:val="0"/>
          <w:numId w:val="0"/>
        </w:numPr>
        <w:spacing w:after="120"/>
        <w:ind w:left="540"/>
        <w:jc w:val="both"/>
        <w:rPr>
          <w:rFonts w:asciiTheme="minorHAnsi" w:eastAsia="Times New Roman" w:hAnsiTheme="minorHAnsi" w:cs="Times New Roman"/>
          <w:b w:val="0"/>
          <w:color w:val="auto"/>
          <w:sz w:val="22"/>
        </w:rPr>
      </w:pPr>
      <w:bookmarkStart w:id="58" w:name="_Toc205981742"/>
      <w:r w:rsidRPr="005D0ED3">
        <w:rPr>
          <w:rFonts w:asciiTheme="minorHAnsi" w:eastAsia="Times New Roman" w:hAnsiTheme="minorHAnsi" w:cs="Times New Roman"/>
          <w:b w:val="0"/>
          <w:color w:val="auto"/>
          <w:sz w:val="22"/>
        </w:rPr>
        <w:t>HJR 773 (Steele)</w:t>
      </w:r>
      <w:r w:rsidR="0024038D" w:rsidRPr="005D0ED3">
        <w:rPr>
          <w:rFonts w:asciiTheme="minorHAnsi" w:eastAsia="Times New Roman" w:hAnsiTheme="minorHAnsi" w:cs="Times New Roman"/>
          <w:b w:val="0"/>
          <w:color w:val="auto"/>
          <w:sz w:val="22"/>
        </w:rPr>
        <w:t>, and implementing bills HB 775 (Steele) and SB 1092 (Martin), would have proposed an amendment to the Florida Constitution that would have changed how homestead property is assessed for property tax purposes. The amendment would have eliminated the annual assessment based on the property’s current just value and instead assessed properties at their most recent purchase price or, for new construction, the construction cost.</w:t>
      </w:r>
      <w:bookmarkEnd w:id="58"/>
    </w:p>
    <w:p w14:paraId="6CDFBDF9" w14:textId="32FF5F98" w:rsidR="00B44296" w:rsidRPr="005D0ED3" w:rsidRDefault="00EB1D2B" w:rsidP="00137E1C">
      <w:pPr>
        <w:pStyle w:val="H2"/>
        <w:jc w:val="both"/>
      </w:pPr>
      <w:bookmarkStart w:id="59" w:name="_Toc205981743"/>
      <w:r w:rsidRPr="005D0ED3">
        <w:t>Homestead Exemptions</w:t>
      </w:r>
      <w:bookmarkEnd w:id="59"/>
    </w:p>
    <w:p w14:paraId="5922DEB0" w14:textId="1712349C" w:rsidR="00725BC8" w:rsidRPr="00DC4DED" w:rsidRDefault="00137E1C" w:rsidP="00DC4DED">
      <w:pPr>
        <w:pStyle w:val="H2"/>
        <w:numPr>
          <w:ilvl w:val="0"/>
          <w:numId w:val="0"/>
        </w:numPr>
        <w:spacing w:after="120"/>
        <w:ind w:left="540"/>
        <w:jc w:val="both"/>
        <w:rPr>
          <w:rFonts w:asciiTheme="minorHAnsi" w:eastAsia="Times New Roman" w:hAnsiTheme="minorHAnsi" w:cs="Times New Roman"/>
          <w:b w:val="0"/>
          <w:color w:val="auto"/>
          <w:sz w:val="22"/>
        </w:rPr>
      </w:pPr>
      <w:bookmarkStart w:id="60" w:name="_Toc205981744"/>
      <w:r w:rsidRPr="005D0ED3">
        <w:rPr>
          <w:rFonts w:asciiTheme="minorHAnsi" w:eastAsia="Times New Roman" w:hAnsiTheme="minorHAnsi" w:cs="Times New Roman"/>
          <w:b w:val="0"/>
          <w:color w:val="auto"/>
          <w:sz w:val="22"/>
        </w:rPr>
        <w:t xml:space="preserve">SJR 1016 (Ingoglia) </w:t>
      </w:r>
      <w:r w:rsidR="00720A69" w:rsidRPr="005D0ED3">
        <w:rPr>
          <w:rFonts w:asciiTheme="minorHAnsi" w:eastAsia="Times New Roman" w:hAnsiTheme="minorHAnsi" w:cs="Times New Roman"/>
          <w:b w:val="0"/>
          <w:color w:val="auto"/>
          <w:sz w:val="22"/>
        </w:rPr>
        <w:t xml:space="preserve">and </w:t>
      </w:r>
      <w:r w:rsidRPr="005D0ED3">
        <w:rPr>
          <w:rFonts w:asciiTheme="minorHAnsi" w:eastAsia="Times New Roman" w:hAnsiTheme="minorHAnsi" w:cs="Times New Roman"/>
          <w:b w:val="0"/>
          <w:color w:val="auto"/>
          <w:sz w:val="22"/>
        </w:rPr>
        <w:t>implementing SB 1018 (Ingoglia)</w:t>
      </w:r>
      <w:r w:rsidR="00720A69" w:rsidRPr="005D0ED3">
        <w:rPr>
          <w:rFonts w:asciiTheme="minorHAnsi" w:eastAsia="Times New Roman" w:hAnsiTheme="minorHAnsi" w:cs="Times New Roman"/>
          <w:b w:val="0"/>
          <w:color w:val="auto"/>
          <w:sz w:val="22"/>
        </w:rPr>
        <w:t xml:space="preserve"> </w:t>
      </w:r>
      <w:r w:rsidRPr="005D0ED3">
        <w:rPr>
          <w:rFonts w:asciiTheme="minorHAnsi" w:eastAsia="Times New Roman" w:hAnsiTheme="minorHAnsi" w:cs="Times New Roman"/>
          <w:b w:val="0"/>
          <w:color w:val="auto"/>
          <w:sz w:val="22"/>
        </w:rPr>
        <w:t>would have proposed a constitutional amendment to delete the school district property tax levy homestead exemption and increase the non-school property tax levy exemption from $25,000 to $75,000, with an annual adjustment to this exemption based on the consumer price index.</w:t>
      </w:r>
      <w:bookmarkEnd w:id="60"/>
    </w:p>
    <w:p w14:paraId="12330CE0" w14:textId="1653EF45" w:rsidR="00B44296" w:rsidRPr="005D0ED3" w:rsidRDefault="6C6D6F58" w:rsidP="00137E1C">
      <w:pPr>
        <w:pStyle w:val="H2"/>
        <w:jc w:val="both"/>
      </w:pPr>
      <w:bookmarkStart w:id="61" w:name="_Toc172800388"/>
      <w:bookmarkStart w:id="62" w:name="_Toc204690122"/>
      <w:bookmarkStart w:id="63" w:name="_Toc205981745"/>
      <w:r w:rsidRPr="005D0ED3">
        <w:t>Ho</w:t>
      </w:r>
      <w:r w:rsidR="00EB1D2B" w:rsidRPr="005D0ED3">
        <w:t>using</w:t>
      </w:r>
      <w:bookmarkEnd w:id="61"/>
      <w:bookmarkEnd w:id="62"/>
      <w:bookmarkEnd w:id="63"/>
    </w:p>
    <w:p w14:paraId="281CB4E4" w14:textId="6BCB3731" w:rsidR="6C6D6F58" w:rsidRPr="005D0ED3" w:rsidRDefault="00725BC8" w:rsidP="00196F24">
      <w:pPr>
        <w:pStyle w:val="H2"/>
        <w:numPr>
          <w:ilvl w:val="0"/>
          <w:numId w:val="0"/>
        </w:numPr>
        <w:spacing w:after="120"/>
        <w:ind w:left="540"/>
        <w:jc w:val="both"/>
        <w:rPr>
          <w:rFonts w:asciiTheme="minorHAnsi" w:eastAsia="Times New Roman" w:hAnsiTheme="minorHAnsi" w:cs="Times New Roman"/>
          <w:b w:val="0"/>
          <w:color w:val="auto"/>
          <w:sz w:val="22"/>
        </w:rPr>
      </w:pPr>
      <w:bookmarkStart w:id="64" w:name="_Toc205981746"/>
      <w:r w:rsidRPr="005D0ED3">
        <w:rPr>
          <w:rFonts w:asciiTheme="minorHAnsi" w:eastAsia="Times New Roman" w:hAnsiTheme="minorHAnsi" w:cs="Times New Roman"/>
          <w:b w:val="0"/>
          <w:color w:val="auto"/>
          <w:sz w:val="22"/>
        </w:rPr>
        <w:t>HB 923 (Lopez, V.) and SB 1594 (McClain)</w:t>
      </w:r>
      <w:r w:rsidR="00720A69" w:rsidRPr="005D0ED3">
        <w:rPr>
          <w:rFonts w:asciiTheme="minorHAnsi" w:eastAsia="Times New Roman" w:hAnsiTheme="minorHAnsi" w:cs="Times New Roman"/>
          <w:b w:val="0"/>
          <w:color w:val="auto"/>
          <w:sz w:val="22"/>
        </w:rPr>
        <w:t xml:space="preserve"> would have</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 xml:space="preserve">revised current laws relating to the various ad valorem tax exemptions for projects providing affordable housing.  </w:t>
      </w:r>
      <w:r w:rsidR="00196F24" w:rsidRPr="005D0ED3">
        <w:rPr>
          <w:rFonts w:asciiTheme="minorHAnsi" w:eastAsia="Times New Roman" w:hAnsiTheme="minorHAnsi" w:cs="Times New Roman"/>
          <w:b w:val="0"/>
          <w:color w:val="auto"/>
          <w:sz w:val="22"/>
        </w:rPr>
        <w:t xml:space="preserve">Among other things, the </w:t>
      </w:r>
      <w:r w:rsidRPr="005D0ED3">
        <w:rPr>
          <w:rFonts w:asciiTheme="minorHAnsi" w:eastAsia="Times New Roman" w:hAnsiTheme="minorHAnsi" w:cs="Times New Roman"/>
          <w:b w:val="0"/>
          <w:color w:val="auto"/>
          <w:sz w:val="22"/>
        </w:rPr>
        <w:t>bills would have</w:t>
      </w:r>
      <w:r w:rsidR="00196F24" w:rsidRPr="005D0ED3">
        <w:rPr>
          <w:rFonts w:asciiTheme="minorHAnsi" w:eastAsia="Times New Roman" w:hAnsiTheme="minorHAnsi" w:cs="Times New Roman"/>
          <w:b w:val="0"/>
          <w:color w:val="auto"/>
          <w:sz w:val="22"/>
        </w:rPr>
        <w:t>: (1) s</w:t>
      </w:r>
      <w:r w:rsidRPr="005D0ED3">
        <w:rPr>
          <w:rFonts w:asciiTheme="minorHAnsi" w:eastAsia="Times New Roman" w:hAnsiTheme="minorHAnsi" w:cs="Times New Roman"/>
          <w:b w:val="0"/>
          <w:color w:val="auto"/>
          <w:sz w:val="22"/>
        </w:rPr>
        <w:t>ubstantially revised s</w:t>
      </w:r>
      <w:r w:rsidR="002C3198" w:rsidRPr="005D0ED3">
        <w:rPr>
          <w:rFonts w:asciiTheme="minorHAnsi" w:eastAsia="Times New Roman" w:hAnsiTheme="minorHAnsi" w:cs="Times New Roman"/>
          <w:b w:val="0"/>
          <w:color w:val="auto"/>
          <w:sz w:val="22"/>
        </w:rPr>
        <w:t>s.</w:t>
      </w:r>
      <w:r w:rsidRPr="005D0ED3">
        <w:rPr>
          <w:rFonts w:asciiTheme="minorHAnsi" w:eastAsia="Times New Roman" w:hAnsiTheme="minorHAnsi" w:cs="Times New Roman"/>
          <w:b w:val="0"/>
          <w:color w:val="auto"/>
          <w:sz w:val="22"/>
        </w:rPr>
        <w:t xml:space="preserve"> 196.1978 and 196.1979, F</w:t>
      </w:r>
      <w:r w:rsidR="002C3198" w:rsidRPr="005D0ED3">
        <w:rPr>
          <w:rFonts w:asciiTheme="minorHAnsi" w:eastAsia="Times New Roman" w:hAnsiTheme="minorHAnsi" w:cs="Times New Roman"/>
          <w:b w:val="0"/>
          <w:color w:val="auto"/>
          <w:sz w:val="22"/>
        </w:rPr>
        <w:t xml:space="preserve">.S., </w:t>
      </w:r>
      <w:r w:rsidRPr="005D0ED3">
        <w:rPr>
          <w:rFonts w:asciiTheme="minorHAnsi" w:eastAsia="Times New Roman" w:hAnsiTheme="minorHAnsi" w:cs="Times New Roman"/>
          <w:b w:val="0"/>
          <w:color w:val="auto"/>
          <w:sz w:val="22"/>
        </w:rPr>
        <w:t>which establish five property tax exemptions available to certain affordable housing developments</w:t>
      </w:r>
      <w:r w:rsidR="00196F24" w:rsidRPr="005D0ED3">
        <w:rPr>
          <w:rFonts w:asciiTheme="minorHAnsi" w:eastAsia="Times New Roman" w:hAnsiTheme="minorHAnsi" w:cs="Times New Roman"/>
          <w:b w:val="0"/>
          <w:color w:val="auto"/>
          <w:sz w:val="22"/>
        </w:rPr>
        <w:t xml:space="preserve">; </w:t>
      </w:r>
      <w:r w:rsidR="00D52733" w:rsidRPr="005D0ED3">
        <w:rPr>
          <w:rFonts w:asciiTheme="minorHAnsi" w:eastAsia="Times New Roman" w:hAnsiTheme="minorHAnsi" w:cs="Times New Roman"/>
          <w:b w:val="0"/>
          <w:color w:val="auto"/>
          <w:sz w:val="22"/>
        </w:rPr>
        <w:t xml:space="preserve">(2) </w:t>
      </w:r>
      <w:r w:rsidRPr="005D0ED3">
        <w:rPr>
          <w:rFonts w:asciiTheme="minorHAnsi" w:eastAsia="Times New Roman" w:hAnsiTheme="minorHAnsi" w:cs="Times New Roman"/>
          <w:b w:val="0"/>
          <w:color w:val="auto"/>
          <w:sz w:val="22"/>
        </w:rPr>
        <w:t>added a third tier of property tax exemptions for newly constructed multifamily projects for all affordable units within a qualified development approved pursuant to the Live Local Act administrative approval processes</w:t>
      </w:r>
      <w:r w:rsidR="00196F24" w:rsidRPr="005D0ED3">
        <w:rPr>
          <w:rFonts w:asciiTheme="minorHAnsi" w:eastAsia="Times New Roman" w:hAnsiTheme="minorHAnsi" w:cs="Times New Roman"/>
          <w:b w:val="0"/>
          <w:color w:val="auto"/>
          <w:sz w:val="22"/>
        </w:rPr>
        <w:t>;</w:t>
      </w:r>
      <w:r w:rsidR="00302399">
        <w:rPr>
          <w:rFonts w:asciiTheme="minorHAnsi" w:eastAsia="Times New Roman" w:hAnsiTheme="minorHAnsi" w:cs="Times New Roman"/>
          <w:b w:val="0"/>
          <w:color w:val="auto"/>
          <w:sz w:val="22"/>
        </w:rPr>
        <w:t xml:space="preserve"> and </w:t>
      </w:r>
      <w:r w:rsidR="00D52733" w:rsidRPr="005D0ED3">
        <w:rPr>
          <w:rFonts w:asciiTheme="minorHAnsi" w:eastAsia="Times New Roman" w:hAnsiTheme="minorHAnsi" w:cs="Times New Roman"/>
          <w:b w:val="0"/>
          <w:color w:val="auto"/>
          <w:sz w:val="22"/>
        </w:rPr>
        <w:t>(</w:t>
      </w:r>
      <w:r w:rsidR="00302399">
        <w:rPr>
          <w:rFonts w:asciiTheme="minorHAnsi" w:eastAsia="Times New Roman" w:hAnsiTheme="minorHAnsi" w:cs="Times New Roman"/>
          <w:b w:val="0"/>
          <w:color w:val="auto"/>
          <w:sz w:val="22"/>
        </w:rPr>
        <w:t>3</w:t>
      </w:r>
      <w:r w:rsidR="00D52733" w:rsidRPr="005D0ED3">
        <w:rPr>
          <w:rFonts w:asciiTheme="minorHAnsi" w:eastAsia="Times New Roman" w:hAnsiTheme="minorHAnsi" w:cs="Times New Roman"/>
          <w:b w:val="0"/>
          <w:color w:val="auto"/>
          <w:sz w:val="22"/>
        </w:rPr>
        <w:t xml:space="preserve">) </w:t>
      </w:r>
      <w:r w:rsidR="00196F24" w:rsidRPr="005D0ED3">
        <w:rPr>
          <w:rFonts w:asciiTheme="minorHAnsi" w:eastAsia="Times New Roman" w:hAnsiTheme="minorHAnsi" w:cs="Times New Roman"/>
          <w:b w:val="0"/>
          <w:color w:val="auto"/>
          <w:sz w:val="22"/>
        </w:rPr>
        <w:t>r</w:t>
      </w:r>
      <w:r w:rsidRPr="005D0ED3">
        <w:rPr>
          <w:rFonts w:asciiTheme="minorHAnsi" w:eastAsia="Times New Roman" w:hAnsiTheme="minorHAnsi" w:cs="Times New Roman"/>
          <w:b w:val="0"/>
          <w:color w:val="auto"/>
          <w:sz w:val="22"/>
        </w:rPr>
        <w:t>evised requirements relating to the 99-year affordability property tax exemption for FHFC-funded properties by removing the requirement that an eligible property contain more than 70 affordable units</w:t>
      </w:r>
      <w:r w:rsidR="00D52733" w:rsidRPr="005D0ED3">
        <w:rPr>
          <w:rFonts w:asciiTheme="minorHAnsi" w:eastAsia="Times New Roman" w:hAnsiTheme="minorHAnsi" w:cs="Times New Roman"/>
          <w:b w:val="0"/>
          <w:color w:val="auto"/>
          <w:sz w:val="22"/>
        </w:rPr>
        <w:t>,</w:t>
      </w:r>
      <w:r w:rsidR="00196F24" w:rsidRPr="005D0ED3">
        <w:rPr>
          <w:rFonts w:asciiTheme="minorHAnsi" w:eastAsia="Times New Roman" w:hAnsiTheme="minorHAnsi" w:cs="Times New Roman"/>
          <w:b w:val="0"/>
          <w:color w:val="auto"/>
          <w:sz w:val="22"/>
        </w:rPr>
        <w:t xml:space="preserve"> and i</w:t>
      </w:r>
      <w:r w:rsidRPr="005D0ED3">
        <w:rPr>
          <w:rFonts w:asciiTheme="minorHAnsi" w:eastAsia="Times New Roman" w:hAnsiTheme="minorHAnsi" w:cs="Times New Roman"/>
          <w:b w:val="0"/>
          <w:color w:val="auto"/>
          <w:sz w:val="22"/>
        </w:rPr>
        <w:t>nstead</w:t>
      </w:r>
      <w:r w:rsidR="00196F24" w:rsidRPr="005D0ED3">
        <w:rPr>
          <w:rFonts w:asciiTheme="minorHAnsi" w:eastAsia="Times New Roman" w:hAnsiTheme="minorHAnsi" w:cs="Times New Roman"/>
          <w:b w:val="0"/>
          <w:color w:val="auto"/>
          <w:sz w:val="22"/>
        </w:rPr>
        <w:t xml:space="preserve"> </w:t>
      </w:r>
      <w:r w:rsidRPr="005D0ED3">
        <w:rPr>
          <w:rFonts w:asciiTheme="minorHAnsi" w:eastAsia="Times New Roman" w:hAnsiTheme="minorHAnsi" w:cs="Times New Roman"/>
          <w:b w:val="0"/>
          <w:color w:val="auto"/>
          <w:sz w:val="22"/>
        </w:rPr>
        <w:t>requir</w:t>
      </w:r>
      <w:r w:rsidR="00196F24" w:rsidRPr="005D0ED3">
        <w:rPr>
          <w:rFonts w:asciiTheme="minorHAnsi" w:eastAsia="Times New Roman" w:hAnsiTheme="minorHAnsi" w:cs="Times New Roman"/>
          <w:b w:val="0"/>
          <w:color w:val="auto"/>
          <w:sz w:val="22"/>
        </w:rPr>
        <w:t>ing</w:t>
      </w:r>
      <w:r w:rsidRPr="005D0ED3">
        <w:rPr>
          <w:rFonts w:asciiTheme="minorHAnsi" w:eastAsia="Times New Roman" w:hAnsiTheme="minorHAnsi" w:cs="Times New Roman"/>
          <w:b w:val="0"/>
          <w:color w:val="auto"/>
          <w:sz w:val="22"/>
        </w:rPr>
        <w:t xml:space="preserve"> eligible properties to contain at least one affordable unit, or, for an adaptive reuse project, at least 20% of the project’s residential units </w:t>
      </w:r>
      <w:r w:rsidR="00302399">
        <w:rPr>
          <w:rFonts w:asciiTheme="minorHAnsi" w:eastAsia="Times New Roman" w:hAnsiTheme="minorHAnsi" w:cs="Times New Roman"/>
          <w:b w:val="0"/>
          <w:color w:val="auto"/>
          <w:sz w:val="22"/>
        </w:rPr>
        <w:t xml:space="preserve">must be used </w:t>
      </w:r>
      <w:r w:rsidR="00196F24" w:rsidRPr="005D0ED3">
        <w:rPr>
          <w:rFonts w:asciiTheme="minorHAnsi" w:eastAsia="Times New Roman" w:hAnsiTheme="minorHAnsi" w:cs="Times New Roman"/>
          <w:b w:val="0"/>
          <w:color w:val="auto"/>
          <w:sz w:val="22"/>
        </w:rPr>
        <w:t>to</w:t>
      </w:r>
      <w:r w:rsidRPr="005D0ED3">
        <w:rPr>
          <w:rFonts w:asciiTheme="minorHAnsi" w:eastAsia="Times New Roman" w:hAnsiTheme="minorHAnsi" w:cs="Times New Roman"/>
          <w:b w:val="0"/>
          <w:color w:val="auto"/>
          <w:sz w:val="22"/>
        </w:rPr>
        <w:t xml:space="preserve"> </w:t>
      </w:r>
      <w:r w:rsidR="00302399">
        <w:rPr>
          <w:rFonts w:asciiTheme="minorHAnsi" w:eastAsia="Times New Roman" w:hAnsiTheme="minorHAnsi" w:cs="Times New Roman"/>
          <w:b w:val="0"/>
          <w:color w:val="auto"/>
          <w:sz w:val="22"/>
        </w:rPr>
        <w:t>provide affordable housing</w:t>
      </w:r>
      <w:r w:rsidRPr="005D0ED3">
        <w:rPr>
          <w:rFonts w:asciiTheme="minorHAnsi" w:eastAsia="Times New Roman" w:hAnsiTheme="minorHAnsi" w:cs="Times New Roman"/>
          <w:b w:val="0"/>
          <w:color w:val="auto"/>
          <w:sz w:val="22"/>
        </w:rPr>
        <w:t>.</w:t>
      </w:r>
      <w:bookmarkEnd w:id="64"/>
    </w:p>
    <w:p w14:paraId="3B006C95" w14:textId="194D069E" w:rsidR="00B44296" w:rsidRPr="005D0ED3" w:rsidRDefault="00992B07" w:rsidP="00137E1C">
      <w:pPr>
        <w:pStyle w:val="H2"/>
        <w:jc w:val="both"/>
      </w:pPr>
      <w:bookmarkStart w:id="65" w:name="_Toc205981747"/>
      <w:bookmarkStart w:id="66" w:name="_Toc172800391"/>
      <w:bookmarkStart w:id="67" w:name="_Toc204690124"/>
      <w:r w:rsidRPr="005D0ED3">
        <w:t>Impact Fees</w:t>
      </w:r>
      <w:bookmarkEnd w:id="65"/>
      <w:r w:rsidRPr="005D0ED3">
        <w:t xml:space="preserve"> </w:t>
      </w:r>
      <w:bookmarkEnd w:id="66"/>
      <w:bookmarkEnd w:id="67"/>
    </w:p>
    <w:p w14:paraId="2F8CDA56" w14:textId="1815ED97" w:rsidR="00EB1D2B" w:rsidRPr="005D0ED3" w:rsidRDefault="007E21C5" w:rsidP="00137E1C">
      <w:pPr>
        <w:pStyle w:val="H2"/>
        <w:numPr>
          <w:ilvl w:val="0"/>
          <w:numId w:val="0"/>
        </w:numPr>
        <w:spacing w:after="120"/>
        <w:ind w:left="540"/>
        <w:jc w:val="both"/>
        <w:rPr>
          <w:rFonts w:asciiTheme="minorHAnsi" w:eastAsia="Times New Roman" w:hAnsiTheme="minorHAnsi" w:cs="Times New Roman"/>
          <w:b w:val="0"/>
          <w:color w:val="auto"/>
          <w:sz w:val="22"/>
        </w:rPr>
      </w:pPr>
      <w:bookmarkStart w:id="68" w:name="_Toc205981748"/>
      <w:r w:rsidRPr="005D0ED3">
        <w:rPr>
          <w:rFonts w:asciiTheme="minorHAnsi" w:eastAsia="Times New Roman" w:hAnsiTheme="minorHAnsi" w:cs="Times New Roman"/>
          <w:b w:val="0"/>
          <w:color w:val="auto"/>
          <w:sz w:val="22"/>
        </w:rPr>
        <w:t>CS/SB 482 (DiCeglie) and CS/HB 665 (Steele)</w:t>
      </w:r>
      <w:r w:rsidR="00720A69" w:rsidRPr="005D0ED3">
        <w:rPr>
          <w:rFonts w:asciiTheme="minorHAnsi" w:eastAsia="Times New Roman" w:hAnsiTheme="minorHAnsi" w:cs="Times New Roman"/>
          <w:b w:val="0"/>
          <w:color w:val="auto"/>
          <w:sz w:val="22"/>
        </w:rPr>
        <w:t xml:space="preserve"> would have</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limited local governments’ ability to increase impact fees beyond statutory limits.</w:t>
      </w:r>
      <w:bookmarkEnd w:id="68"/>
    </w:p>
    <w:p w14:paraId="0928FCC5" w14:textId="3B03A9ED" w:rsidR="00EB1D2B" w:rsidRPr="005D0ED3" w:rsidRDefault="00992B07" w:rsidP="00137E1C">
      <w:pPr>
        <w:pStyle w:val="H2"/>
        <w:jc w:val="both"/>
      </w:pPr>
      <w:bookmarkStart w:id="69" w:name="_Toc205981749"/>
      <w:r w:rsidRPr="005D0ED3">
        <w:t>Local Business Taxes</w:t>
      </w:r>
      <w:bookmarkEnd w:id="69"/>
    </w:p>
    <w:p w14:paraId="402D3A81" w14:textId="3DD3F4EE" w:rsidR="6C6D6F58" w:rsidRDefault="007E21C5" w:rsidP="00137E1C">
      <w:pPr>
        <w:pStyle w:val="H2"/>
        <w:numPr>
          <w:ilvl w:val="0"/>
          <w:numId w:val="0"/>
        </w:numPr>
        <w:spacing w:after="120"/>
        <w:ind w:left="540"/>
        <w:jc w:val="both"/>
        <w:rPr>
          <w:rFonts w:asciiTheme="minorHAnsi" w:eastAsia="Times New Roman" w:hAnsiTheme="minorHAnsi" w:cs="Times New Roman"/>
          <w:b w:val="0"/>
          <w:color w:val="auto"/>
          <w:sz w:val="22"/>
        </w:rPr>
      </w:pPr>
      <w:bookmarkStart w:id="70" w:name="_Toc205981750"/>
      <w:r w:rsidRPr="005D0ED3">
        <w:rPr>
          <w:rFonts w:asciiTheme="minorHAnsi" w:eastAsia="Times New Roman" w:hAnsiTheme="minorHAnsi" w:cs="Times New Roman"/>
          <w:b w:val="0"/>
          <w:color w:val="auto"/>
          <w:sz w:val="22"/>
        </w:rPr>
        <w:t>HB 503 (Botana) and SB 1196 (Truenow)</w:t>
      </w:r>
      <w:r w:rsidR="00720A69" w:rsidRPr="005D0ED3">
        <w:rPr>
          <w:rFonts w:asciiTheme="minorHAnsi" w:eastAsia="Times New Roman" w:hAnsiTheme="minorHAnsi" w:cs="Times New Roman"/>
          <w:b w:val="0"/>
          <w:color w:val="auto"/>
          <w:sz w:val="22"/>
        </w:rPr>
        <w:t xml:space="preserve"> would have</w:t>
      </w:r>
      <w:r w:rsidRPr="005D0ED3">
        <w:rPr>
          <w:rFonts w:asciiTheme="minorHAnsi" w:eastAsiaTheme="minorHAnsi" w:hAnsiTheme="minorHAnsi" w:cstheme="minorBidi"/>
          <w:b w:val="0"/>
          <w:bCs w:val="0"/>
          <w:color w:val="auto"/>
          <w:kern w:val="2"/>
          <w14:ligatures w14:val="standardContextual"/>
        </w:rPr>
        <w:t xml:space="preserve"> </w:t>
      </w:r>
      <w:r w:rsidR="00983944">
        <w:rPr>
          <w:rFonts w:asciiTheme="minorHAnsi" w:eastAsia="Times New Roman" w:hAnsiTheme="minorHAnsi" w:cs="Times New Roman"/>
          <w:b w:val="0"/>
          <w:color w:val="auto"/>
          <w:sz w:val="22"/>
        </w:rPr>
        <w:t xml:space="preserve">required the </w:t>
      </w:r>
      <w:r w:rsidRPr="005D0ED3">
        <w:rPr>
          <w:rFonts w:asciiTheme="minorHAnsi" w:eastAsia="Times New Roman" w:hAnsiTheme="minorHAnsi" w:cs="Times New Roman"/>
          <w:b w:val="0"/>
          <w:color w:val="auto"/>
          <w:sz w:val="22"/>
        </w:rPr>
        <w:t>Auditor General</w:t>
      </w:r>
      <w:r w:rsidR="00983944">
        <w:rPr>
          <w:rFonts w:asciiTheme="minorHAnsi" w:eastAsia="Times New Roman" w:hAnsiTheme="minorHAnsi" w:cs="Times New Roman"/>
          <w:b w:val="0"/>
          <w:color w:val="auto"/>
          <w:sz w:val="22"/>
        </w:rPr>
        <w:t>, as part of its review of local government audit reports, to contact local governments that were reported as not complying with s. 205.0535</w:t>
      </w:r>
      <w:r w:rsidR="00A46CD7">
        <w:rPr>
          <w:rFonts w:asciiTheme="minorHAnsi" w:eastAsia="Times New Roman" w:hAnsiTheme="minorHAnsi" w:cs="Times New Roman"/>
          <w:b w:val="0"/>
          <w:color w:val="auto"/>
          <w:sz w:val="22"/>
        </w:rPr>
        <w:t>, F.S.,</w:t>
      </w:r>
      <w:r w:rsidR="00983944">
        <w:rPr>
          <w:rFonts w:asciiTheme="minorHAnsi" w:eastAsia="Times New Roman" w:hAnsiTheme="minorHAnsi" w:cs="Times New Roman"/>
          <w:b w:val="0"/>
          <w:color w:val="auto"/>
          <w:sz w:val="22"/>
        </w:rPr>
        <w:t xml:space="preserve"> relating to business taxes and request evidence of corrective action.  </w:t>
      </w:r>
      <w:r w:rsidRPr="005D0ED3">
        <w:rPr>
          <w:rFonts w:asciiTheme="minorHAnsi" w:eastAsia="Times New Roman" w:hAnsiTheme="minorHAnsi" w:cs="Times New Roman"/>
          <w:b w:val="0"/>
          <w:color w:val="auto"/>
          <w:sz w:val="22"/>
        </w:rPr>
        <w:t xml:space="preserve">The bills </w:t>
      </w:r>
      <w:r w:rsidR="00A46CD7">
        <w:rPr>
          <w:rFonts w:asciiTheme="minorHAnsi" w:eastAsia="Times New Roman" w:hAnsiTheme="minorHAnsi" w:cs="Times New Roman"/>
          <w:b w:val="0"/>
          <w:color w:val="auto"/>
          <w:sz w:val="22"/>
        </w:rPr>
        <w:t>establishes a base fiscal year</w:t>
      </w:r>
      <w:r w:rsidRPr="005D0ED3">
        <w:rPr>
          <w:rFonts w:asciiTheme="minorHAnsi" w:eastAsia="Times New Roman" w:hAnsiTheme="minorHAnsi" w:cs="Times New Roman"/>
          <w:b w:val="0"/>
          <w:color w:val="auto"/>
          <w:sz w:val="22"/>
        </w:rPr>
        <w:t xml:space="preserve"> with a requirement for the reduction of fees and refunds to be issued to businesses if local government revenues exceed the revenue base year annually. The bills would have provided an exemption for fiscally constrained counties and the municipalities within them.</w:t>
      </w:r>
      <w:bookmarkEnd w:id="70"/>
    </w:p>
    <w:p w14:paraId="0411A2C3" w14:textId="6187C7C7" w:rsidR="00B44296" w:rsidRPr="005D0ED3" w:rsidRDefault="00992B07" w:rsidP="00137E1C">
      <w:pPr>
        <w:pStyle w:val="H2"/>
        <w:jc w:val="both"/>
        <w:rPr>
          <w:rFonts w:eastAsiaTheme="minorEastAsia"/>
        </w:rPr>
      </w:pPr>
      <w:bookmarkStart w:id="71" w:name="_Toc205981751"/>
      <w:r w:rsidRPr="005D0ED3">
        <w:rPr>
          <w:rFonts w:eastAsiaTheme="minorEastAsia"/>
          <w:kern w:val="2"/>
          <w14:ligatures w14:val="standardContextual"/>
        </w:rPr>
        <w:t>Local Option Taxes</w:t>
      </w:r>
      <w:bookmarkEnd w:id="71"/>
    </w:p>
    <w:p w14:paraId="4DCAC416" w14:textId="41DC03C6" w:rsidR="6C6D6F58" w:rsidRPr="005D0ED3" w:rsidRDefault="00095F58" w:rsidP="00137E1C">
      <w:pPr>
        <w:pStyle w:val="H2"/>
        <w:numPr>
          <w:ilvl w:val="0"/>
          <w:numId w:val="0"/>
        </w:numPr>
        <w:spacing w:after="120"/>
        <w:ind w:left="540"/>
        <w:jc w:val="both"/>
        <w:rPr>
          <w:rFonts w:asciiTheme="minorHAnsi" w:eastAsia="Times New Roman" w:hAnsiTheme="minorHAnsi" w:cs="Times New Roman"/>
          <w:b w:val="0"/>
          <w:color w:val="auto"/>
          <w:sz w:val="22"/>
        </w:rPr>
      </w:pPr>
      <w:bookmarkStart w:id="72" w:name="_Toc205981752"/>
      <w:r w:rsidRPr="005D0ED3">
        <w:rPr>
          <w:rFonts w:asciiTheme="minorHAnsi" w:eastAsia="Times New Roman" w:hAnsiTheme="minorHAnsi" w:cs="Times New Roman"/>
          <w:b w:val="0"/>
          <w:color w:val="auto"/>
          <w:sz w:val="22"/>
        </w:rPr>
        <w:lastRenderedPageBreak/>
        <w:t>CS/CS/HB 1221 (Miller) and CS/CS/SB 1664 (Trumbull)</w:t>
      </w:r>
      <w:r w:rsidR="00720A69" w:rsidRPr="005D0ED3">
        <w:rPr>
          <w:rFonts w:asciiTheme="minorHAnsi" w:eastAsia="Times New Roman" w:hAnsiTheme="minorHAnsi" w:cs="Times New Roman"/>
          <w:b w:val="0"/>
          <w:color w:val="auto"/>
          <w:sz w:val="22"/>
        </w:rPr>
        <w:t xml:space="preserve"> would </w:t>
      </w:r>
      <w:r w:rsidRPr="005D0ED3">
        <w:rPr>
          <w:rFonts w:asciiTheme="minorHAnsi" w:eastAsia="Times New Roman" w:hAnsiTheme="minorHAnsi" w:cs="Times New Roman"/>
          <w:b w:val="0"/>
          <w:color w:val="auto"/>
          <w:sz w:val="22"/>
        </w:rPr>
        <w:t>have proposed significant changes to the process for adopting and renewing local option taxes and surtaxes, requiring voter approval via referendum rather than adoption by ordinance.</w:t>
      </w:r>
      <w:bookmarkEnd w:id="72"/>
    </w:p>
    <w:p w14:paraId="0C2CD911" w14:textId="4F40D8C4" w:rsidR="00B44296" w:rsidRPr="005D0ED3" w:rsidRDefault="00992B07" w:rsidP="00137E1C">
      <w:pPr>
        <w:pStyle w:val="H2"/>
        <w:jc w:val="both"/>
      </w:pPr>
      <w:bookmarkStart w:id="73" w:name="_Toc205981753"/>
      <w:r w:rsidRPr="005D0ED3">
        <w:t>Property Tax Benefits for Certain Residential Properties Subject to a Long-term Lease</w:t>
      </w:r>
      <w:bookmarkEnd w:id="73"/>
    </w:p>
    <w:p w14:paraId="7EADBEE3" w14:textId="7AF482B7" w:rsidR="00860085" w:rsidRPr="00303917" w:rsidRDefault="00095F58" w:rsidP="00303917">
      <w:pPr>
        <w:pStyle w:val="H2"/>
        <w:numPr>
          <w:ilvl w:val="0"/>
          <w:numId w:val="0"/>
        </w:numPr>
        <w:spacing w:after="120"/>
        <w:ind w:left="540"/>
        <w:jc w:val="both"/>
        <w:rPr>
          <w:rFonts w:asciiTheme="minorHAnsi" w:eastAsia="Times New Roman" w:hAnsiTheme="minorHAnsi" w:cs="Times New Roman"/>
          <w:b w:val="0"/>
          <w:color w:val="auto"/>
          <w:sz w:val="22"/>
        </w:rPr>
      </w:pPr>
      <w:bookmarkStart w:id="74" w:name="_Toc205981754"/>
      <w:r w:rsidRPr="005D0ED3">
        <w:rPr>
          <w:rFonts w:asciiTheme="minorHAnsi" w:eastAsia="Times New Roman" w:hAnsiTheme="minorHAnsi" w:cs="Times New Roman"/>
          <w:b w:val="0"/>
          <w:color w:val="auto"/>
          <w:sz w:val="22"/>
        </w:rPr>
        <w:t>CS/CS/HJR 1257 (Busatta) and CS/SJR 1510 (Avila)</w:t>
      </w:r>
      <w:r w:rsidR="0024038D" w:rsidRPr="005D0ED3">
        <w:rPr>
          <w:rFonts w:asciiTheme="minorHAnsi" w:eastAsia="Times New Roman" w:hAnsiTheme="minorHAnsi" w:cs="Times New Roman"/>
          <w:b w:val="0"/>
          <w:color w:val="auto"/>
          <w:sz w:val="22"/>
        </w:rPr>
        <w:t>,</w:t>
      </w:r>
      <w:r w:rsidR="00720A69" w:rsidRPr="005D0ED3">
        <w:rPr>
          <w:rFonts w:asciiTheme="minorHAnsi" w:eastAsia="Times New Roman" w:hAnsiTheme="minorHAnsi" w:cs="Times New Roman"/>
          <w:b w:val="0"/>
          <w:color w:val="auto"/>
          <w:sz w:val="22"/>
        </w:rPr>
        <w:t xml:space="preserve"> </w:t>
      </w:r>
      <w:r w:rsidR="0024038D" w:rsidRPr="0024038D">
        <w:rPr>
          <w:rFonts w:asciiTheme="minorHAnsi" w:eastAsia="Times New Roman" w:hAnsiTheme="minorHAnsi" w:cs="Times New Roman"/>
          <w:b w:val="0"/>
          <w:color w:val="auto"/>
          <w:sz w:val="22"/>
        </w:rPr>
        <w:t>and</w:t>
      </w:r>
      <w:r w:rsidR="0024038D" w:rsidRPr="005D0ED3">
        <w:rPr>
          <w:rFonts w:asciiTheme="minorHAnsi" w:eastAsia="Times New Roman" w:hAnsiTheme="minorHAnsi" w:cs="Times New Roman"/>
          <w:b w:val="0"/>
          <w:color w:val="auto"/>
          <w:sz w:val="22"/>
        </w:rPr>
        <w:t xml:space="preserve"> implementing bills </w:t>
      </w:r>
      <w:r w:rsidR="0024038D" w:rsidRPr="0024038D">
        <w:rPr>
          <w:rFonts w:asciiTheme="minorHAnsi" w:eastAsia="Times New Roman" w:hAnsiTheme="minorHAnsi" w:cs="Times New Roman"/>
          <w:b w:val="0"/>
          <w:color w:val="auto"/>
          <w:sz w:val="22"/>
        </w:rPr>
        <w:t>CS/CS/HB 1259 (Busatta) and CS/SB 1512 (Avila)</w:t>
      </w:r>
      <w:r w:rsidR="0024038D" w:rsidRPr="005D0ED3">
        <w:rPr>
          <w:rFonts w:asciiTheme="minorHAnsi" w:eastAsia="Times New Roman" w:hAnsiTheme="minorHAnsi" w:cs="Times New Roman"/>
          <w:b w:val="0"/>
          <w:color w:val="auto"/>
          <w:sz w:val="22"/>
        </w:rPr>
        <w:t>,</w:t>
      </w:r>
      <w:r w:rsidR="0024038D" w:rsidRPr="0024038D">
        <w:rPr>
          <w:rFonts w:asciiTheme="minorHAnsi" w:eastAsia="Times New Roman" w:hAnsiTheme="minorHAnsi" w:cs="Times New Roman"/>
          <w:b w:val="0"/>
          <w:color w:val="auto"/>
          <w:sz w:val="22"/>
        </w:rPr>
        <w:t xml:space="preserve"> </w:t>
      </w:r>
      <w:r w:rsidR="00720A69" w:rsidRPr="005D0ED3">
        <w:rPr>
          <w:rFonts w:asciiTheme="minorHAnsi" w:eastAsia="Times New Roman" w:hAnsiTheme="minorHAnsi" w:cs="Times New Roman"/>
          <w:b w:val="0"/>
          <w:color w:val="auto"/>
          <w:sz w:val="22"/>
        </w:rPr>
        <w:t>would have</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 xml:space="preserve">proposed a constitutional amendment to extend homestead exemption benefits and assessment limitations to additional properties owned by homestead property owners that are leased for terms of six months or more to other persons. </w:t>
      </w:r>
      <w:bookmarkStart w:id="75" w:name="_Toc172800395"/>
      <w:bookmarkStart w:id="76" w:name="_Toc204690128"/>
      <w:bookmarkStart w:id="77" w:name="_Toc205981755"/>
      <w:bookmarkEnd w:id="74"/>
    </w:p>
    <w:p w14:paraId="4C760407" w14:textId="5455E7E2" w:rsidR="00B44296" w:rsidRPr="005D0ED3" w:rsidRDefault="00B44296" w:rsidP="00137E1C">
      <w:pPr>
        <w:pStyle w:val="H2"/>
        <w:jc w:val="both"/>
        <w:rPr>
          <w:rFonts w:eastAsiaTheme="minorEastAsia"/>
        </w:rPr>
      </w:pPr>
      <w:r w:rsidRPr="005D0ED3">
        <w:rPr>
          <w:rFonts w:eastAsiaTheme="minorEastAsia"/>
          <w:kern w:val="2"/>
          <w14:ligatures w14:val="standardContextual"/>
        </w:rPr>
        <w:t>Property Tax Exemptions</w:t>
      </w:r>
      <w:bookmarkEnd w:id="75"/>
      <w:bookmarkEnd w:id="76"/>
      <w:bookmarkEnd w:id="77"/>
    </w:p>
    <w:p w14:paraId="2B0AFD85" w14:textId="405285F8" w:rsidR="009F1B28" w:rsidRDefault="009F1B28" w:rsidP="005D0ED3">
      <w:pPr>
        <w:pStyle w:val="H2"/>
        <w:numPr>
          <w:ilvl w:val="0"/>
          <w:numId w:val="0"/>
        </w:numPr>
        <w:spacing w:after="120"/>
        <w:ind w:left="540"/>
        <w:jc w:val="both"/>
        <w:rPr>
          <w:rFonts w:asciiTheme="minorHAnsi" w:eastAsia="Times New Roman" w:hAnsiTheme="minorHAnsi" w:cs="Times New Roman"/>
          <w:b w:val="0"/>
          <w:color w:val="auto"/>
          <w:sz w:val="22"/>
        </w:rPr>
      </w:pPr>
      <w:bookmarkStart w:id="78" w:name="_Toc205981756"/>
      <w:r w:rsidRPr="005D0ED3">
        <w:rPr>
          <w:rFonts w:asciiTheme="minorHAnsi" w:eastAsia="Times New Roman" w:hAnsiTheme="minorHAnsi" w:cs="Times New Roman"/>
          <w:b w:val="0"/>
          <w:color w:val="auto"/>
          <w:sz w:val="22"/>
        </w:rPr>
        <w:t xml:space="preserve">HJR 357 (Chamberlin) </w:t>
      </w:r>
      <w:r w:rsidR="00720A69" w:rsidRPr="005D0ED3">
        <w:rPr>
          <w:rFonts w:asciiTheme="minorHAnsi" w:eastAsia="Times New Roman" w:hAnsiTheme="minorHAnsi" w:cs="Times New Roman"/>
          <w:b w:val="0"/>
          <w:color w:val="auto"/>
          <w:sz w:val="22"/>
        </w:rPr>
        <w:t xml:space="preserve">and </w:t>
      </w:r>
      <w:r w:rsidRPr="005D0ED3">
        <w:rPr>
          <w:rFonts w:asciiTheme="minorHAnsi" w:eastAsia="Times New Roman" w:hAnsiTheme="minorHAnsi" w:cs="Times New Roman"/>
          <w:b w:val="0"/>
          <w:color w:val="auto"/>
          <w:sz w:val="22"/>
        </w:rPr>
        <w:t xml:space="preserve">implementing bill HB 359 (Chamberlin) </w:t>
      </w:r>
      <w:r w:rsidR="00720A69" w:rsidRPr="005D0ED3">
        <w:rPr>
          <w:rFonts w:asciiTheme="minorHAnsi" w:eastAsia="Times New Roman" w:hAnsiTheme="minorHAnsi" w:cs="Times New Roman"/>
          <w:b w:val="0"/>
          <w:color w:val="auto"/>
          <w:sz w:val="22"/>
        </w:rPr>
        <w:t>would have</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proposed a constitutional amendment to establish a new $100,000 property tax exemption applicable to all properties in Florida.</w:t>
      </w:r>
      <w:bookmarkEnd w:id="78"/>
    </w:p>
    <w:p w14:paraId="7EF2AF65" w14:textId="77777777" w:rsidR="00F919F6" w:rsidRPr="00897FCE" w:rsidRDefault="00F919F6" w:rsidP="00F919F6">
      <w:pPr>
        <w:pStyle w:val="H2"/>
      </w:pPr>
      <w:bookmarkStart w:id="79" w:name="_Toc173240545"/>
      <w:r w:rsidRPr="00897FCE">
        <w:t>Residential Utility Disconnections</w:t>
      </w:r>
    </w:p>
    <w:bookmarkEnd w:id="79"/>
    <w:p w14:paraId="529AF688" w14:textId="43BF5E65" w:rsidR="00F919F6" w:rsidRDefault="00F919F6" w:rsidP="00F919F6">
      <w:pPr>
        <w:pStyle w:val="H2"/>
        <w:numPr>
          <w:ilvl w:val="0"/>
          <w:numId w:val="0"/>
        </w:numPr>
        <w:spacing w:after="120"/>
        <w:ind w:left="540"/>
        <w:jc w:val="both"/>
        <w:rPr>
          <w:rFonts w:asciiTheme="minorHAnsi" w:eastAsia="Times New Roman" w:hAnsiTheme="minorHAnsi" w:cs="Times New Roman"/>
          <w:b w:val="0"/>
          <w:color w:val="auto"/>
          <w:sz w:val="22"/>
        </w:rPr>
      </w:pPr>
      <w:r w:rsidRPr="00902A0B">
        <w:rPr>
          <w:rFonts w:asciiTheme="minorHAnsi" w:eastAsia="Times New Roman" w:hAnsiTheme="minorHAnsi" w:cs="Times New Roman"/>
          <w:b w:val="0"/>
          <w:color w:val="auto"/>
          <w:sz w:val="22"/>
        </w:rPr>
        <w:t xml:space="preserve">SB 330 (Berman and Smith) </w:t>
      </w:r>
      <w:r w:rsidR="00303917">
        <w:rPr>
          <w:rFonts w:asciiTheme="minorHAnsi" w:eastAsia="Times New Roman" w:hAnsiTheme="minorHAnsi" w:cs="Times New Roman"/>
          <w:b w:val="0"/>
          <w:color w:val="auto"/>
          <w:sz w:val="22"/>
        </w:rPr>
        <w:t xml:space="preserve">and HB 419 (Tendrich) </w:t>
      </w:r>
      <w:r w:rsidRPr="00902A0B">
        <w:rPr>
          <w:rFonts w:asciiTheme="minorHAnsi" w:eastAsia="Times New Roman" w:hAnsiTheme="minorHAnsi" w:cs="Times New Roman"/>
          <w:b w:val="0"/>
          <w:color w:val="auto"/>
          <w:sz w:val="22"/>
        </w:rPr>
        <w:t xml:space="preserve">would have prohibited an electric utility, a public utility, or a water utility from disconnecting service to residential customers for nonpayment of bills or fees under specified circumstances, required such utilities to waive reconnection fees and late fees in certain circumstances, prohibited such utilities from recovering from customers any fee or expense incurred in complying with the </w:t>
      </w:r>
      <w:r w:rsidR="006B24FC">
        <w:rPr>
          <w:rFonts w:asciiTheme="minorHAnsi" w:eastAsia="Times New Roman" w:hAnsiTheme="minorHAnsi" w:cs="Times New Roman"/>
          <w:b w:val="0"/>
          <w:color w:val="auto"/>
          <w:sz w:val="22"/>
        </w:rPr>
        <w:t>bill</w:t>
      </w:r>
      <w:r w:rsidRPr="00902A0B">
        <w:rPr>
          <w:rFonts w:asciiTheme="minorHAnsi" w:eastAsia="Times New Roman" w:hAnsiTheme="minorHAnsi" w:cs="Times New Roman"/>
          <w:b w:val="0"/>
          <w:color w:val="auto"/>
          <w:sz w:val="22"/>
        </w:rPr>
        <w:t>, and required such utilities to deliver notice of nonpayment of bills or fees to residential customers within a specified timeframe using specified methods of notice and including certain information.</w:t>
      </w:r>
    </w:p>
    <w:p w14:paraId="598F83FB" w14:textId="77777777" w:rsidR="00BD5374" w:rsidRPr="005F1040" w:rsidRDefault="00BD5374" w:rsidP="00BD5374">
      <w:pPr>
        <w:pStyle w:val="H2"/>
      </w:pPr>
      <w:r w:rsidRPr="005F1040">
        <w:t>Resilience Districts</w:t>
      </w:r>
    </w:p>
    <w:p w14:paraId="2E2C4A25" w14:textId="71C72C24" w:rsidR="00BD5374" w:rsidRDefault="00BD5374" w:rsidP="00BD5374">
      <w:pPr>
        <w:pStyle w:val="H2"/>
        <w:numPr>
          <w:ilvl w:val="0"/>
          <w:numId w:val="0"/>
        </w:numPr>
        <w:spacing w:after="120"/>
        <w:ind w:left="540"/>
        <w:jc w:val="both"/>
        <w:rPr>
          <w:rFonts w:asciiTheme="minorHAnsi" w:eastAsia="Times New Roman" w:hAnsiTheme="minorHAnsi" w:cs="Times New Roman"/>
          <w:b w:val="0"/>
          <w:color w:val="auto"/>
          <w:sz w:val="22"/>
        </w:rPr>
      </w:pPr>
      <w:r w:rsidRPr="00902A0B">
        <w:rPr>
          <w:rFonts w:asciiTheme="minorHAnsi" w:eastAsia="Times New Roman" w:hAnsiTheme="minorHAnsi" w:cs="Times New Roman"/>
          <w:b w:val="0"/>
          <w:color w:val="auto"/>
          <w:sz w:val="22"/>
        </w:rPr>
        <w:t>SB 1316 (Grall) would have created the “Resilience District Act of 2025” authorizing the establishment of infrastructure resilience districts through a petition by certain persons, specifying requirements for resilience districts and condominium resilience districts, specifying acceptable uses of infrastructure resilience districts and condominium resilience districts, and authorizing the payment of certain fees for project management of infrastructure resilience districts.</w:t>
      </w:r>
    </w:p>
    <w:p w14:paraId="6FB18330" w14:textId="3B2E5508" w:rsidR="00B44296" w:rsidRPr="005D0ED3" w:rsidRDefault="00992B07" w:rsidP="00137E1C">
      <w:pPr>
        <w:pStyle w:val="H2"/>
        <w:jc w:val="both"/>
        <w:rPr>
          <w:rFonts w:eastAsia="Times New Roman"/>
        </w:rPr>
      </w:pPr>
      <w:bookmarkStart w:id="80" w:name="_Toc205981757"/>
      <w:r w:rsidRPr="005D0ED3">
        <w:rPr>
          <w:rFonts w:eastAsia="Times New Roman"/>
        </w:rPr>
        <w:t>Revenues from Ad Valorem Taxes</w:t>
      </w:r>
      <w:bookmarkEnd w:id="80"/>
    </w:p>
    <w:p w14:paraId="36AB58C3" w14:textId="1F950FE0" w:rsidR="00DC4DED" w:rsidRPr="005D0ED3" w:rsidRDefault="00D52733" w:rsidP="00137E1C">
      <w:pPr>
        <w:pStyle w:val="H2"/>
        <w:numPr>
          <w:ilvl w:val="0"/>
          <w:numId w:val="0"/>
        </w:numPr>
        <w:spacing w:after="120"/>
        <w:ind w:left="540"/>
        <w:jc w:val="both"/>
        <w:rPr>
          <w:rFonts w:asciiTheme="minorHAnsi" w:eastAsia="Times New Roman" w:hAnsiTheme="minorHAnsi" w:cs="Times New Roman"/>
          <w:b w:val="0"/>
          <w:color w:val="auto"/>
          <w:sz w:val="22"/>
        </w:rPr>
      </w:pPr>
      <w:bookmarkStart w:id="81" w:name="_Toc205981758"/>
      <w:r w:rsidRPr="005D0ED3">
        <w:rPr>
          <w:rFonts w:asciiTheme="minorHAnsi" w:eastAsia="Times New Roman" w:hAnsiTheme="minorHAnsi" w:cs="Times New Roman"/>
          <w:b w:val="0"/>
          <w:color w:val="auto"/>
          <w:sz w:val="22"/>
        </w:rPr>
        <w:t>HB 787 (Chamberlin) and SB 996 (Collins)</w:t>
      </w:r>
      <w:r w:rsidR="00720A69" w:rsidRPr="005D0ED3">
        <w:rPr>
          <w:rFonts w:asciiTheme="minorHAnsi" w:eastAsia="Times New Roman" w:hAnsiTheme="minorHAnsi" w:cs="Times New Roman"/>
          <w:b w:val="0"/>
          <w:color w:val="auto"/>
          <w:sz w:val="22"/>
        </w:rPr>
        <w:t xml:space="preserve"> would have</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 xml:space="preserve">changed the calculation of the rolled-back rate to include new construction property values and set limits on how much the millage may exceed the rolled-back rate. Local governments were not to be allowed to exceed 102% </w:t>
      </w:r>
      <w:r w:rsidR="00857D6A">
        <w:rPr>
          <w:rFonts w:asciiTheme="minorHAnsi" w:eastAsia="Times New Roman" w:hAnsiTheme="minorHAnsi" w:cs="Times New Roman"/>
          <w:b w:val="0"/>
          <w:color w:val="auto"/>
          <w:sz w:val="22"/>
        </w:rPr>
        <w:t>of the rolled-back rate</w:t>
      </w:r>
      <w:r w:rsidR="00452953" w:rsidRPr="005D0ED3">
        <w:rPr>
          <w:rFonts w:asciiTheme="minorHAnsi" w:eastAsia="Times New Roman" w:hAnsiTheme="minorHAnsi" w:cs="Times New Roman"/>
          <w:b w:val="0"/>
          <w:color w:val="auto"/>
          <w:sz w:val="22"/>
        </w:rPr>
        <w:t>, and a</w:t>
      </w:r>
      <w:r w:rsidRPr="005D0ED3">
        <w:rPr>
          <w:rFonts w:asciiTheme="minorHAnsi" w:eastAsia="Times New Roman" w:hAnsiTheme="minorHAnsi" w:cs="Times New Roman"/>
          <w:b w:val="0"/>
          <w:color w:val="auto"/>
          <w:sz w:val="22"/>
        </w:rPr>
        <w:t>ny revenues collected above the amount set by the 102% cap would have been required to be returned to the taxpayers on a pro-rated basis or used to pay down local government debt.</w:t>
      </w:r>
      <w:bookmarkEnd w:id="81"/>
    </w:p>
    <w:p w14:paraId="474BC009" w14:textId="2AC4C7DE" w:rsidR="00992B07" w:rsidRPr="005D0ED3" w:rsidRDefault="00992B07" w:rsidP="00137E1C">
      <w:pPr>
        <w:pStyle w:val="H2"/>
        <w:jc w:val="both"/>
        <w:rPr>
          <w:rFonts w:eastAsia="Times New Roman"/>
        </w:rPr>
      </w:pPr>
      <w:bookmarkStart w:id="82" w:name="_Toc205981759"/>
      <w:bookmarkStart w:id="83" w:name="_Toc172800398"/>
      <w:bookmarkStart w:id="84" w:name="_Toc204690130"/>
      <w:r w:rsidRPr="005D0ED3">
        <w:rPr>
          <w:rFonts w:eastAsia="Times New Roman"/>
        </w:rPr>
        <w:t>Salaries and Benefits</w:t>
      </w:r>
      <w:bookmarkEnd w:id="82"/>
    </w:p>
    <w:p w14:paraId="56A3C99E" w14:textId="5E1A2886" w:rsidR="00303917" w:rsidRPr="005D0ED3" w:rsidRDefault="00D52733" w:rsidP="008747CA">
      <w:pPr>
        <w:pStyle w:val="H2"/>
        <w:numPr>
          <w:ilvl w:val="0"/>
          <w:numId w:val="0"/>
        </w:numPr>
        <w:spacing w:after="120"/>
        <w:ind w:left="540"/>
        <w:jc w:val="both"/>
        <w:rPr>
          <w:rFonts w:asciiTheme="minorHAnsi" w:eastAsia="Times New Roman" w:hAnsiTheme="minorHAnsi" w:cs="Times New Roman"/>
          <w:b w:val="0"/>
          <w:color w:val="auto"/>
          <w:sz w:val="22"/>
        </w:rPr>
      </w:pPr>
      <w:bookmarkStart w:id="85" w:name="_Toc205981760"/>
      <w:r w:rsidRPr="005D0ED3">
        <w:rPr>
          <w:rFonts w:asciiTheme="minorHAnsi" w:eastAsia="Times New Roman" w:hAnsiTheme="minorHAnsi" w:cs="Times New Roman"/>
          <w:b w:val="0"/>
          <w:color w:val="auto"/>
          <w:sz w:val="22"/>
        </w:rPr>
        <w:t xml:space="preserve">CS/CS/HB 1581 (Buchanan) and SB 1762 (Gruters) </w:t>
      </w:r>
      <w:r w:rsidR="00720A69" w:rsidRPr="005D0ED3">
        <w:rPr>
          <w:rFonts w:asciiTheme="minorHAnsi" w:eastAsia="Times New Roman" w:hAnsiTheme="minorHAnsi" w:cs="Times New Roman"/>
          <w:b w:val="0"/>
          <w:color w:val="auto"/>
          <w:sz w:val="22"/>
        </w:rPr>
        <w:t>would have</w:t>
      </w:r>
      <w:r w:rsidR="00452953" w:rsidRPr="005D0ED3">
        <w:rPr>
          <w:rFonts w:asciiTheme="minorHAnsi" w:eastAsiaTheme="minorHAnsi" w:hAnsiTheme="minorHAnsi" w:cstheme="minorBidi"/>
          <w:b w:val="0"/>
          <w:bCs w:val="0"/>
          <w:color w:val="auto"/>
          <w:kern w:val="2"/>
          <w14:ligatures w14:val="standardContextual"/>
        </w:rPr>
        <w:t xml:space="preserve"> </w:t>
      </w:r>
      <w:r w:rsidR="00452953" w:rsidRPr="005D0ED3">
        <w:rPr>
          <w:rFonts w:asciiTheme="minorHAnsi" w:eastAsia="Times New Roman" w:hAnsiTheme="minorHAnsi" w:cs="Times New Roman"/>
          <w:b w:val="0"/>
          <w:color w:val="auto"/>
          <w:sz w:val="22"/>
        </w:rPr>
        <w:t>established new requirements for salary increases for local government officials. The bills would have modified the salary formulas for county commissioners in non-charter counties and required a voter-approved referendum before increasing the salary, retirement benefits, or other compensation for county commissioners, elected municipal officials, and special district governing board members.</w:t>
      </w:r>
      <w:bookmarkEnd w:id="85"/>
    </w:p>
    <w:p w14:paraId="245D6055" w14:textId="00603E90" w:rsidR="00992B07" w:rsidRPr="005D0ED3" w:rsidRDefault="00992B07" w:rsidP="00137E1C">
      <w:pPr>
        <w:pStyle w:val="H2"/>
        <w:jc w:val="both"/>
        <w:rPr>
          <w:rFonts w:eastAsia="Times New Roman"/>
        </w:rPr>
      </w:pPr>
      <w:bookmarkStart w:id="86" w:name="_Toc205981761"/>
      <w:r w:rsidRPr="005D0ED3">
        <w:rPr>
          <w:rFonts w:eastAsia="Times New Roman"/>
        </w:rPr>
        <w:t>Service Lateral Assessment and Rehabilitation</w:t>
      </w:r>
      <w:bookmarkEnd w:id="86"/>
    </w:p>
    <w:p w14:paraId="2E74E45F" w14:textId="2C9172A0" w:rsidR="00D43993" w:rsidRDefault="001555DE" w:rsidP="008747CA">
      <w:pPr>
        <w:pStyle w:val="H2"/>
        <w:numPr>
          <w:ilvl w:val="0"/>
          <w:numId w:val="0"/>
        </w:numPr>
        <w:spacing w:after="120"/>
        <w:ind w:left="540"/>
        <w:jc w:val="both"/>
        <w:rPr>
          <w:rFonts w:asciiTheme="minorHAnsi" w:eastAsia="Times New Roman" w:hAnsiTheme="minorHAnsi" w:cs="Times New Roman"/>
          <w:b w:val="0"/>
          <w:color w:val="auto"/>
          <w:sz w:val="22"/>
        </w:rPr>
      </w:pPr>
      <w:bookmarkStart w:id="87" w:name="_Toc205981762"/>
      <w:r w:rsidRPr="005D0ED3">
        <w:rPr>
          <w:rFonts w:asciiTheme="minorHAnsi" w:eastAsia="Times New Roman" w:hAnsiTheme="minorHAnsi" w:cs="Times New Roman"/>
          <w:b w:val="0"/>
          <w:color w:val="auto"/>
          <w:sz w:val="22"/>
        </w:rPr>
        <w:lastRenderedPageBreak/>
        <w:t>HB 1187 (Nix) and SB 1208 (Truenow)</w:t>
      </w:r>
      <w:r w:rsidR="00720A69" w:rsidRPr="005D0ED3">
        <w:rPr>
          <w:rFonts w:asciiTheme="minorHAnsi" w:eastAsia="Times New Roman" w:hAnsiTheme="minorHAnsi" w:cs="Times New Roman"/>
          <w:b w:val="0"/>
          <w:color w:val="auto"/>
          <w:sz w:val="22"/>
        </w:rPr>
        <w:t xml:space="preserve"> would have</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 xml:space="preserve">imposed significant and costly obligations on municipal utilities, requiring them to inspect, document, and repair sewer laterals. Among other things, the bill would have: (1) required all utility systems to establish and maintain a comprehensive condition assessment program for </w:t>
      </w:r>
      <w:r w:rsidR="004E65BF">
        <w:rPr>
          <w:rFonts w:asciiTheme="minorHAnsi" w:eastAsia="Times New Roman" w:hAnsiTheme="minorHAnsi" w:cs="Times New Roman"/>
          <w:b w:val="0"/>
          <w:color w:val="auto"/>
          <w:sz w:val="22"/>
        </w:rPr>
        <w:t>all service</w:t>
      </w:r>
      <w:r w:rsidRPr="005D0ED3">
        <w:rPr>
          <w:rFonts w:asciiTheme="minorHAnsi" w:eastAsia="Times New Roman" w:hAnsiTheme="minorHAnsi" w:cs="Times New Roman"/>
          <w:b w:val="0"/>
          <w:color w:val="auto"/>
          <w:sz w:val="22"/>
        </w:rPr>
        <w:t xml:space="preserve"> lateral under their jurisdiction; (2) required every service lateral within the utility system to be inspected using CCTV lateral launch camera systems every seven years; (3)</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required each utility system to establish and maintain a lateral monolithic repair program; (4) and provided that utilities that failed to comply with the specified requirements would have been subject to enforcement and penalties from the Department of Environmental Protection.</w:t>
      </w:r>
      <w:bookmarkEnd w:id="87"/>
    </w:p>
    <w:p w14:paraId="483E2CE0" w14:textId="77777777" w:rsidR="0019052D" w:rsidRPr="00A532F9" w:rsidRDefault="0019052D" w:rsidP="0019052D">
      <w:pPr>
        <w:pStyle w:val="H2"/>
      </w:pPr>
      <w:bookmarkStart w:id="88" w:name="_Toc172800389"/>
      <w:bookmarkStart w:id="89" w:name="_Toc173240544"/>
      <w:r>
        <w:t>Special District Performance Measures</w:t>
      </w:r>
      <w:bookmarkEnd w:id="88"/>
      <w:bookmarkEnd w:id="89"/>
    </w:p>
    <w:p w14:paraId="539727E4" w14:textId="17EF25C5" w:rsidR="0019052D" w:rsidRPr="005D0ED3" w:rsidRDefault="0019052D" w:rsidP="00902A0B">
      <w:pPr>
        <w:spacing w:line="276" w:lineRule="auto"/>
        <w:ind w:left="540"/>
        <w:jc w:val="both"/>
      </w:pPr>
      <w:r w:rsidRPr="00A532F9">
        <w:rPr>
          <w:rFonts w:cstheme="minorHAnsi"/>
          <w:bCs/>
          <w:szCs w:val="22"/>
        </w:rPr>
        <w:t xml:space="preserve">HB </w:t>
      </w:r>
      <w:r>
        <w:rPr>
          <w:rFonts w:cstheme="minorHAnsi"/>
          <w:bCs/>
          <w:szCs w:val="22"/>
        </w:rPr>
        <w:t>6029</w:t>
      </w:r>
      <w:r w:rsidRPr="00A532F9">
        <w:rPr>
          <w:rFonts w:cstheme="minorHAnsi"/>
          <w:bCs/>
          <w:szCs w:val="22"/>
        </w:rPr>
        <w:t xml:space="preserve"> </w:t>
      </w:r>
      <w:r>
        <w:rPr>
          <w:rFonts w:cstheme="minorHAnsi"/>
          <w:bCs/>
          <w:szCs w:val="22"/>
        </w:rPr>
        <w:t xml:space="preserve">(Greco) </w:t>
      </w:r>
      <w:r w:rsidRPr="00A532F9">
        <w:rPr>
          <w:rFonts w:cstheme="minorHAnsi"/>
          <w:bCs/>
          <w:szCs w:val="22"/>
        </w:rPr>
        <w:t>and SB 1</w:t>
      </w:r>
      <w:r>
        <w:rPr>
          <w:rFonts w:cstheme="minorHAnsi"/>
          <w:bCs/>
          <w:szCs w:val="22"/>
        </w:rPr>
        <w:t>392</w:t>
      </w:r>
      <w:r w:rsidRPr="00A532F9">
        <w:rPr>
          <w:rFonts w:cstheme="minorHAnsi"/>
          <w:bCs/>
          <w:szCs w:val="22"/>
        </w:rPr>
        <w:t xml:space="preserve"> </w:t>
      </w:r>
      <w:r>
        <w:rPr>
          <w:rFonts w:cstheme="minorHAnsi"/>
          <w:bCs/>
          <w:szCs w:val="22"/>
        </w:rPr>
        <w:t xml:space="preserve">(True Now) </w:t>
      </w:r>
      <w:r w:rsidRPr="00A532F9">
        <w:rPr>
          <w:rFonts w:cstheme="minorHAnsi"/>
          <w:bCs/>
          <w:szCs w:val="22"/>
        </w:rPr>
        <w:t>would have re</w:t>
      </w:r>
      <w:r>
        <w:rPr>
          <w:rFonts w:cstheme="minorHAnsi"/>
          <w:bCs/>
          <w:szCs w:val="22"/>
        </w:rPr>
        <w:t>pealed existing performance measure requirements applying to certain types of special districts (</w:t>
      </w:r>
      <w:r w:rsidR="006B24FC">
        <w:rPr>
          <w:rFonts w:cstheme="minorHAnsi"/>
          <w:bCs/>
          <w:szCs w:val="22"/>
        </w:rPr>
        <w:t>s.</w:t>
      </w:r>
      <w:r w:rsidRPr="00897FCE">
        <w:rPr>
          <w:rFonts w:cstheme="minorHAnsi"/>
          <w:bCs/>
          <w:szCs w:val="22"/>
        </w:rPr>
        <w:t xml:space="preserve"> 189.0694, F</w:t>
      </w:r>
      <w:r w:rsidR="006B24FC">
        <w:rPr>
          <w:rFonts w:cstheme="minorHAnsi"/>
          <w:bCs/>
          <w:szCs w:val="22"/>
        </w:rPr>
        <w:t>.</w:t>
      </w:r>
      <w:r w:rsidRPr="00897FCE">
        <w:rPr>
          <w:rFonts w:cstheme="minorHAnsi"/>
          <w:bCs/>
          <w:szCs w:val="22"/>
        </w:rPr>
        <w:t>S</w:t>
      </w:r>
      <w:r w:rsidR="006B24FC">
        <w:rPr>
          <w:rFonts w:cstheme="minorHAnsi"/>
          <w:bCs/>
          <w:szCs w:val="22"/>
        </w:rPr>
        <w:t>.</w:t>
      </w:r>
      <w:r>
        <w:rPr>
          <w:rFonts w:cstheme="minorHAnsi"/>
          <w:bCs/>
          <w:szCs w:val="22"/>
        </w:rPr>
        <w:t>).</w:t>
      </w:r>
    </w:p>
    <w:p w14:paraId="23D2FD32" w14:textId="3CBD49B1" w:rsidR="00992B07" w:rsidRPr="005D0ED3" w:rsidRDefault="00992B07" w:rsidP="00137E1C">
      <w:pPr>
        <w:pStyle w:val="H2"/>
        <w:jc w:val="both"/>
        <w:rPr>
          <w:rFonts w:eastAsia="Times New Roman"/>
        </w:rPr>
      </w:pPr>
      <w:bookmarkStart w:id="90" w:name="_Toc205981763"/>
      <w:r w:rsidRPr="005D0ED3">
        <w:rPr>
          <w:rFonts w:eastAsia="Times New Roman"/>
        </w:rPr>
        <w:t>Suits Against the Government</w:t>
      </w:r>
      <w:bookmarkEnd w:id="90"/>
    </w:p>
    <w:p w14:paraId="338ADE08" w14:textId="166EBEE2" w:rsidR="00992B07" w:rsidRPr="005D0ED3" w:rsidRDefault="00CB5ABC" w:rsidP="00137E1C">
      <w:pPr>
        <w:pStyle w:val="H2"/>
        <w:numPr>
          <w:ilvl w:val="0"/>
          <w:numId w:val="0"/>
        </w:numPr>
        <w:spacing w:after="120"/>
        <w:ind w:left="540"/>
        <w:jc w:val="both"/>
        <w:rPr>
          <w:rFonts w:asciiTheme="minorHAnsi" w:eastAsia="Times New Roman" w:hAnsiTheme="minorHAnsi" w:cs="Times New Roman"/>
          <w:b w:val="0"/>
          <w:color w:val="auto"/>
          <w:sz w:val="22"/>
        </w:rPr>
      </w:pPr>
      <w:bookmarkStart w:id="91" w:name="_Toc205981764"/>
      <w:r w:rsidRPr="005D0ED3">
        <w:rPr>
          <w:rFonts w:asciiTheme="minorHAnsi" w:eastAsia="Times New Roman" w:hAnsiTheme="minorHAnsi" w:cs="Times New Roman"/>
          <w:b w:val="0"/>
          <w:color w:val="auto"/>
          <w:sz w:val="22"/>
        </w:rPr>
        <w:t>CS/HB 301 (McFarland) and SB 1570 (DiCeglie)</w:t>
      </w:r>
      <w:r w:rsidR="00720A69" w:rsidRPr="005D0ED3">
        <w:rPr>
          <w:rFonts w:asciiTheme="minorHAnsi" w:eastAsia="Times New Roman" w:hAnsiTheme="minorHAnsi" w:cs="Times New Roman"/>
          <w:b w:val="0"/>
          <w:color w:val="auto"/>
          <w:sz w:val="22"/>
        </w:rPr>
        <w:t xml:space="preserve"> would have</w:t>
      </w:r>
      <w:r w:rsidRPr="005D0ED3">
        <w:rPr>
          <w:rFonts w:asciiTheme="minorHAnsi" w:eastAsiaTheme="minorHAnsi" w:hAnsiTheme="minorHAnsi" w:cstheme="minorBidi"/>
          <w:b w:val="0"/>
          <w:bCs w:val="0"/>
          <w:color w:val="auto"/>
          <w:kern w:val="2"/>
          <w14:ligatures w14:val="standardContextual"/>
        </w:rPr>
        <w:t xml:space="preserve"> </w:t>
      </w:r>
      <w:r w:rsidRPr="005D0ED3">
        <w:rPr>
          <w:rFonts w:asciiTheme="minorHAnsi" w:eastAsia="Times New Roman" w:hAnsiTheme="minorHAnsi" w:cs="Times New Roman"/>
          <w:b w:val="0"/>
          <w:color w:val="auto"/>
          <w:sz w:val="22"/>
        </w:rPr>
        <w:t xml:space="preserve">increased the statutory caps on tort claims against government entities for claims arising between </w:t>
      </w:r>
      <w:r w:rsidR="004E65BF">
        <w:rPr>
          <w:rFonts w:asciiTheme="minorHAnsi" w:eastAsia="Times New Roman" w:hAnsiTheme="minorHAnsi" w:cs="Times New Roman"/>
          <w:b w:val="0"/>
          <w:color w:val="auto"/>
          <w:sz w:val="22"/>
        </w:rPr>
        <w:t xml:space="preserve">October 1, </w:t>
      </w:r>
      <w:r w:rsidRPr="005D0ED3">
        <w:rPr>
          <w:rFonts w:asciiTheme="minorHAnsi" w:eastAsia="Times New Roman" w:hAnsiTheme="minorHAnsi" w:cs="Times New Roman"/>
          <w:b w:val="0"/>
          <w:color w:val="auto"/>
          <w:sz w:val="22"/>
        </w:rPr>
        <w:t>2025</w:t>
      </w:r>
      <w:r w:rsidR="004E65BF">
        <w:rPr>
          <w:rFonts w:asciiTheme="minorHAnsi" w:eastAsia="Times New Roman" w:hAnsiTheme="minorHAnsi" w:cs="Times New Roman"/>
          <w:b w:val="0"/>
          <w:color w:val="auto"/>
          <w:sz w:val="22"/>
        </w:rPr>
        <w:t>,</w:t>
      </w:r>
      <w:r w:rsidRPr="005D0ED3">
        <w:rPr>
          <w:rFonts w:asciiTheme="minorHAnsi" w:eastAsia="Times New Roman" w:hAnsiTheme="minorHAnsi" w:cs="Times New Roman"/>
          <w:b w:val="0"/>
          <w:color w:val="auto"/>
          <w:sz w:val="22"/>
        </w:rPr>
        <w:t xml:space="preserve"> and </w:t>
      </w:r>
      <w:r w:rsidR="004E65BF">
        <w:rPr>
          <w:rFonts w:asciiTheme="minorHAnsi" w:eastAsia="Times New Roman" w:hAnsiTheme="minorHAnsi" w:cs="Times New Roman"/>
          <w:b w:val="0"/>
          <w:color w:val="auto"/>
          <w:sz w:val="22"/>
        </w:rPr>
        <w:t xml:space="preserve">October 30, </w:t>
      </w:r>
      <w:r w:rsidRPr="005D0ED3">
        <w:rPr>
          <w:rFonts w:asciiTheme="minorHAnsi" w:eastAsia="Times New Roman" w:hAnsiTheme="minorHAnsi" w:cs="Times New Roman"/>
          <w:b w:val="0"/>
          <w:color w:val="auto"/>
          <w:sz w:val="22"/>
        </w:rPr>
        <w:t xml:space="preserve">2030, with additional increased caps beginning after </w:t>
      </w:r>
      <w:r w:rsidR="004E65BF">
        <w:rPr>
          <w:rFonts w:asciiTheme="minorHAnsi" w:eastAsia="Times New Roman" w:hAnsiTheme="minorHAnsi" w:cs="Times New Roman"/>
          <w:b w:val="0"/>
          <w:color w:val="auto"/>
          <w:sz w:val="22"/>
        </w:rPr>
        <w:t xml:space="preserve">October 1, </w:t>
      </w:r>
      <w:r w:rsidRPr="005D0ED3">
        <w:rPr>
          <w:rFonts w:asciiTheme="minorHAnsi" w:eastAsia="Times New Roman" w:hAnsiTheme="minorHAnsi" w:cs="Times New Roman"/>
          <w:b w:val="0"/>
          <w:color w:val="auto"/>
          <w:sz w:val="22"/>
        </w:rPr>
        <w:t>2030.  The bills also narrowed the statute of limitations for negligence</w:t>
      </w:r>
      <w:r w:rsidR="004E65BF">
        <w:rPr>
          <w:rFonts w:asciiTheme="minorHAnsi" w:eastAsia="Times New Roman" w:hAnsiTheme="minorHAnsi" w:cs="Times New Roman"/>
          <w:b w:val="0"/>
          <w:color w:val="auto"/>
          <w:sz w:val="22"/>
        </w:rPr>
        <w:t>, wrongful act, or omission</w:t>
      </w:r>
      <w:r w:rsidRPr="005D0ED3">
        <w:rPr>
          <w:rFonts w:asciiTheme="minorHAnsi" w:eastAsia="Times New Roman" w:hAnsiTheme="minorHAnsi" w:cs="Times New Roman"/>
          <w:b w:val="0"/>
          <w:color w:val="auto"/>
          <w:sz w:val="22"/>
        </w:rPr>
        <w:t xml:space="preserve"> claims from four years to two and shortened the pre-suit notice period to 18 months.</w:t>
      </w:r>
      <w:bookmarkEnd w:id="91"/>
    </w:p>
    <w:p w14:paraId="15F8A23B" w14:textId="66B78974" w:rsidR="00992B07" w:rsidRPr="005D0ED3" w:rsidRDefault="00992B07" w:rsidP="00137E1C">
      <w:pPr>
        <w:pStyle w:val="H2"/>
        <w:jc w:val="both"/>
        <w:rPr>
          <w:rFonts w:eastAsia="Times New Roman"/>
        </w:rPr>
      </w:pPr>
      <w:bookmarkStart w:id="92" w:name="_Toc205981765"/>
      <w:r w:rsidRPr="005D0ED3">
        <w:rPr>
          <w:rFonts w:eastAsia="Times New Roman"/>
        </w:rPr>
        <w:t>Taxation</w:t>
      </w:r>
      <w:bookmarkEnd w:id="92"/>
    </w:p>
    <w:p w14:paraId="7CCCEA52" w14:textId="673F3679" w:rsidR="00992B07" w:rsidRPr="005D0ED3" w:rsidRDefault="00CB5ABC" w:rsidP="00137E1C">
      <w:pPr>
        <w:pStyle w:val="H2"/>
        <w:numPr>
          <w:ilvl w:val="0"/>
          <w:numId w:val="0"/>
        </w:numPr>
        <w:spacing w:after="120"/>
        <w:ind w:left="540"/>
        <w:jc w:val="both"/>
        <w:rPr>
          <w:rFonts w:asciiTheme="minorHAnsi" w:eastAsia="Times New Roman" w:hAnsiTheme="minorHAnsi" w:cs="Times New Roman"/>
          <w:b w:val="0"/>
          <w:color w:val="auto"/>
          <w:sz w:val="22"/>
        </w:rPr>
      </w:pPr>
      <w:bookmarkStart w:id="93" w:name="_Toc205981766"/>
      <w:r w:rsidRPr="00776235">
        <w:rPr>
          <w:rFonts w:asciiTheme="minorHAnsi" w:eastAsia="Times New Roman" w:hAnsiTheme="minorHAnsi" w:cs="Times New Roman"/>
          <w:b w:val="0"/>
          <w:color w:val="auto"/>
          <w:sz w:val="22"/>
        </w:rPr>
        <w:t xml:space="preserve">CS/HB 7033 (Ways and Means Committee) </w:t>
      </w:r>
      <w:r w:rsidR="00BF1429">
        <w:rPr>
          <w:rFonts w:asciiTheme="minorHAnsi" w:eastAsia="Times New Roman" w:hAnsiTheme="minorHAnsi" w:cs="Times New Roman"/>
          <w:b w:val="0"/>
          <w:color w:val="auto"/>
          <w:sz w:val="22"/>
        </w:rPr>
        <w:t xml:space="preserve">and SB 7034 (Finance and Tax Committee) </w:t>
      </w:r>
      <w:r w:rsidR="00720A69" w:rsidRPr="00776235">
        <w:rPr>
          <w:rFonts w:asciiTheme="minorHAnsi" w:eastAsia="Times New Roman" w:hAnsiTheme="minorHAnsi" w:cs="Times New Roman"/>
          <w:b w:val="0"/>
          <w:color w:val="auto"/>
          <w:sz w:val="22"/>
        </w:rPr>
        <w:t>would have</w:t>
      </w:r>
      <w:r w:rsidRPr="00776235">
        <w:rPr>
          <w:rFonts w:asciiTheme="minorHAnsi" w:eastAsiaTheme="minorHAnsi" w:hAnsiTheme="minorHAnsi" w:cstheme="minorBidi"/>
          <w:b w:val="0"/>
          <w:bCs w:val="0"/>
          <w:color w:val="auto"/>
          <w:kern w:val="2"/>
          <w14:ligatures w14:val="standardContextual"/>
        </w:rPr>
        <w:t xml:space="preserve"> </w:t>
      </w:r>
      <w:r w:rsidRPr="00776235">
        <w:rPr>
          <w:rFonts w:asciiTheme="minorHAnsi" w:eastAsia="Times New Roman" w:hAnsiTheme="minorHAnsi" w:cs="Times New Roman"/>
          <w:b w:val="0"/>
          <w:color w:val="auto"/>
          <w:sz w:val="22"/>
        </w:rPr>
        <w:t xml:space="preserve">included provisions to reduce Florida’s sales tax rates by 0.75% and provided for </w:t>
      </w:r>
      <w:r w:rsidR="00D33ACB" w:rsidRPr="00776235">
        <w:rPr>
          <w:rFonts w:asciiTheme="minorHAnsi" w:eastAsia="Times New Roman" w:hAnsiTheme="minorHAnsi" w:cs="Times New Roman"/>
          <w:b w:val="0"/>
          <w:color w:val="auto"/>
          <w:sz w:val="22"/>
        </w:rPr>
        <w:t>various</w:t>
      </w:r>
      <w:r w:rsidRPr="00776235">
        <w:rPr>
          <w:rFonts w:asciiTheme="minorHAnsi" w:eastAsia="Times New Roman" w:hAnsiTheme="minorHAnsi" w:cs="Times New Roman"/>
          <w:b w:val="0"/>
          <w:color w:val="auto"/>
          <w:sz w:val="22"/>
        </w:rPr>
        <w:t xml:space="preserve"> tax reductions. The bill would </w:t>
      </w:r>
      <w:r w:rsidR="00D33ACB" w:rsidRPr="00776235">
        <w:rPr>
          <w:rFonts w:asciiTheme="minorHAnsi" w:eastAsia="Times New Roman" w:hAnsiTheme="minorHAnsi" w:cs="Times New Roman"/>
          <w:b w:val="0"/>
          <w:color w:val="auto"/>
          <w:sz w:val="22"/>
        </w:rPr>
        <w:t xml:space="preserve">also </w:t>
      </w:r>
      <w:r w:rsidRPr="00776235">
        <w:rPr>
          <w:rFonts w:asciiTheme="minorHAnsi" w:eastAsia="Times New Roman" w:hAnsiTheme="minorHAnsi" w:cs="Times New Roman"/>
          <w:b w:val="0"/>
          <w:color w:val="auto"/>
          <w:sz w:val="22"/>
        </w:rPr>
        <w:t xml:space="preserve">have repealed the authority for </w:t>
      </w:r>
      <w:r w:rsidR="00D33ACB" w:rsidRPr="00776235">
        <w:rPr>
          <w:rFonts w:asciiTheme="minorHAnsi" w:eastAsia="Times New Roman" w:hAnsiTheme="minorHAnsi" w:cs="Times New Roman"/>
          <w:b w:val="0"/>
          <w:color w:val="auto"/>
          <w:sz w:val="22"/>
        </w:rPr>
        <w:t xml:space="preserve">counties and </w:t>
      </w:r>
      <w:r w:rsidRPr="00776235">
        <w:rPr>
          <w:rFonts w:asciiTheme="minorHAnsi" w:eastAsia="Times New Roman" w:hAnsiTheme="minorHAnsi" w:cs="Times New Roman"/>
          <w:b w:val="0"/>
          <w:color w:val="auto"/>
          <w:sz w:val="22"/>
        </w:rPr>
        <w:t>municipalities to opt out of the property tax exemption in s</w:t>
      </w:r>
      <w:r w:rsidR="00D33ACB" w:rsidRPr="00776235">
        <w:rPr>
          <w:rFonts w:asciiTheme="minorHAnsi" w:eastAsia="Times New Roman" w:hAnsiTheme="minorHAnsi" w:cs="Times New Roman"/>
          <w:b w:val="0"/>
          <w:color w:val="auto"/>
          <w:sz w:val="22"/>
        </w:rPr>
        <w:t>.</w:t>
      </w:r>
      <w:r w:rsidRPr="00776235">
        <w:rPr>
          <w:rFonts w:asciiTheme="minorHAnsi" w:eastAsia="Times New Roman" w:hAnsiTheme="minorHAnsi" w:cs="Times New Roman"/>
          <w:b w:val="0"/>
          <w:color w:val="auto"/>
          <w:sz w:val="22"/>
        </w:rPr>
        <w:t xml:space="preserve"> 196.1978(3) (o)</w:t>
      </w:r>
      <w:r w:rsidR="00D33ACB" w:rsidRPr="00776235">
        <w:rPr>
          <w:rFonts w:asciiTheme="minorHAnsi" w:eastAsia="Times New Roman" w:hAnsiTheme="minorHAnsi" w:cs="Times New Roman"/>
          <w:b w:val="0"/>
          <w:color w:val="auto"/>
          <w:sz w:val="22"/>
        </w:rPr>
        <w:t>, F.S</w:t>
      </w:r>
      <w:r w:rsidRPr="00776235">
        <w:rPr>
          <w:rFonts w:asciiTheme="minorHAnsi" w:eastAsia="Times New Roman" w:hAnsiTheme="minorHAnsi" w:cs="Times New Roman"/>
          <w:b w:val="0"/>
          <w:color w:val="auto"/>
          <w:sz w:val="22"/>
        </w:rPr>
        <w:t>.</w:t>
      </w:r>
      <w:r w:rsidR="00D33ACB" w:rsidRPr="00776235">
        <w:rPr>
          <w:rFonts w:asciiTheme="minorHAnsi" w:eastAsia="Times New Roman" w:hAnsiTheme="minorHAnsi" w:cs="Times New Roman"/>
          <w:b w:val="0"/>
          <w:color w:val="auto"/>
          <w:sz w:val="22"/>
        </w:rPr>
        <w:t xml:space="preserve">, and changed the authorized use of tourist development taxes from uses specified by statute to use for general revenue purposes, with the use of such taxes for general revenue purposes being offset by a reduction in property taxes </w:t>
      </w:r>
      <w:r w:rsidR="00776235" w:rsidRPr="00776235">
        <w:rPr>
          <w:rFonts w:asciiTheme="minorHAnsi" w:eastAsia="Times New Roman" w:hAnsiTheme="minorHAnsi" w:cs="Times New Roman"/>
          <w:b w:val="0"/>
          <w:color w:val="auto"/>
          <w:sz w:val="22"/>
        </w:rPr>
        <w:t xml:space="preserve">beginning with the </w:t>
      </w:r>
      <w:r w:rsidR="00D33ACB" w:rsidRPr="00776235">
        <w:rPr>
          <w:rFonts w:asciiTheme="minorHAnsi" w:eastAsia="Times New Roman" w:hAnsiTheme="minorHAnsi" w:cs="Times New Roman"/>
          <w:b w:val="0"/>
          <w:color w:val="auto"/>
          <w:sz w:val="22"/>
        </w:rPr>
        <w:t>2026</w:t>
      </w:r>
      <w:r w:rsidR="00776235" w:rsidRPr="00776235">
        <w:rPr>
          <w:rFonts w:asciiTheme="minorHAnsi" w:eastAsia="Times New Roman" w:hAnsiTheme="minorHAnsi" w:cs="Times New Roman"/>
          <w:b w:val="0"/>
          <w:color w:val="auto"/>
          <w:sz w:val="22"/>
        </w:rPr>
        <w:t>-27 fiscal year</w:t>
      </w:r>
      <w:r w:rsidR="00D33ACB" w:rsidRPr="00776235">
        <w:rPr>
          <w:rFonts w:asciiTheme="minorHAnsi" w:eastAsia="Times New Roman" w:hAnsiTheme="minorHAnsi" w:cs="Times New Roman"/>
          <w:b w:val="0"/>
          <w:color w:val="auto"/>
          <w:sz w:val="22"/>
        </w:rPr>
        <w:t>.</w:t>
      </w:r>
      <w:bookmarkEnd w:id="93"/>
    </w:p>
    <w:p w14:paraId="1CA83A2F" w14:textId="37E3FBD9" w:rsidR="00992B07" w:rsidRPr="005D0ED3" w:rsidRDefault="00992B07" w:rsidP="00137E1C">
      <w:pPr>
        <w:pStyle w:val="H2"/>
        <w:jc w:val="both"/>
        <w:rPr>
          <w:rFonts w:eastAsia="Times New Roman"/>
        </w:rPr>
      </w:pPr>
      <w:bookmarkStart w:id="94" w:name="_Toc205981767"/>
      <w:r w:rsidRPr="005D0ED3">
        <w:rPr>
          <w:rFonts w:eastAsia="Times New Roman"/>
        </w:rPr>
        <w:t>Threats from Foreign Nations</w:t>
      </w:r>
      <w:bookmarkEnd w:id="94"/>
    </w:p>
    <w:p w14:paraId="026FA067" w14:textId="5C0A2453" w:rsidR="00DC4DED" w:rsidRPr="005D0ED3" w:rsidRDefault="006D12BF" w:rsidP="007214BE">
      <w:pPr>
        <w:pStyle w:val="H2"/>
        <w:numPr>
          <w:ilvl w:val="0"/>
          <w:numId w:val="0"/>
        </w:numPr>
        <w:spacing w:after="120"/>
        <w:ind w:left="540"/>
        <w:jc w:val="both"/>
        <w:rPr>
          <w:rFonts w:asciiTheme="minorHAnsi" w:eastAsia="Times New Roman" w:hAnsiTheme="minorHAnsi" w:cs="Times New Roman"/>
          <w:b w:val="0"/>
          <w:color w:val="auto"/>
          <w:sz w:val="22"/>
        </w:rPr>
      </w:pPr>
      <w:bookmarkStart w:id="95" w:name="_Toc205981768"/>
      <w:bookmarkEnd w:id="83"/>
      <w:bookmarkEnd w:id="84"/>
      <w:r w:rsidRPr="005D0ED3">
        <w:rPr>
          <w:rFonts w:asciiTheme="minorHAnsi" w:eastAsia="Times New Roman" w:hAnsiTheme="minorHAnsi" w:cs="Times New Roman"/>
          <w:b w:val="0"/>
          <w:color w:val="auto"/>
          <w:sz w:val="22"/>
        </w:rPr>
        <w:t>CS/HB 925 (Redondo) and SB 912 (Collins)</w:t>
      </w:r>
      <w:r w:rsidR="00720A69" w:rsidRPr="005D0ED3">
        <w:rPr>
          <w:rFonts w:asciiTheme="minorHAnsi" w:eastAsia="Times New Roman" w:hAnsiTheme="minorHAnsi" w:cs="Times New Roman"/>
          <w:b w:val="0"/>
          <w:color w:val="auto"/>
          <w:sz w:val="22"/>
        </w:rPr>
        <w:t xml:space="preserve"> </w:t>
      </w:r>
      <w:r w:rsidRPr="005D0ED3">
        <w:rPr>
          <w:rFonts w:asciiTheme="minorHAnsi" w:eastAsia="Times New Roman" w:hAnsiTheme="minorHAnsi" w:cs="Times New Roman"/>
          <w:b w:val="0"/>
          <w:color w:val="auto"/>
          <w:sz w:val="22"/>
        </w:rPr>
        <w:t>provided that governmental entities and entities that construct, repair, operate, or have significant access to critical infrastructure would not be able to enter into a contract or other agreement relating to critical infrastructure within the state with a foreign principal if the contract or agreement authorized the foreign principal to directly or remotely access or control such infrastructure.</w:t>
      </w:r>
      <w:bookmarkEnd w:id="95"/>
    </w:p>
    <w:p w14:paraId="3B68548E" w14:textId="6D753D52" w:rsidR="00B44296" w:rsidRPr="005D0ED3" w:rsidRDefault="00992B07" w:rsidP="007214BE">
      <w:pPr>
        <w:pStyle w:val="H2"/>
        <w:keepNext w:val="0"/>
        <w:keepLines w:val="0"/>
        <w:widowControl w:val="0"/>
        <w:ind w:left="547"/>
        <w:jc w:val="both"/>
      </w:pPr>
      <w:bookmarkStart w:id="96" w:name="_Toc205981769"/>
      <w:bookmarkStart w:id="97" w:name="_Toc172800401"/>
      <w:r w:rsidRPr="005D0ED3">
        <w:t>Utility Services</w:t>
      </w:r>
      <w:bookmarkEnd w:id="96"/>
      <w:r w:rsidR="6C6D6F58" w:rsidRPr="005D0ED3">
        <w:t xml:space="preserve"> </w:t>
      </w:r>
      <w:bookmarkEnd w:id="97"/>
    </w:p>
    <w:p w14:paraId="042D960E" w14:textId="24AD3071" w:rsidR="003F7186" w:rsidRPr="005D0ED3" w:rsidRDefault="003F7186" w:rsidP="007214BE">
      <w:pPr>
        <w:pStyle w:val="H2"/>
        <w:keepNext w:val="0"/>
        <w:keepLines w:val="0"/>
        <w:widowControl w:val="0"/>
        <w:numPr>
          <w:ilvl w:val="0"/>
          <w:numId w:val="0"/>
        </w:numPr>
        <w:spacing w:after="120"/>
        <w:ind w:left="547"/>
        <w:jc w:val="both"/>
        <w:rPr>
          <w:rFonts w:asciiTheme="minorHAnsi" w:eastAsia="Times New Roman" w:hAnsiTheme="minorHAnsi" w:cs="Times New Roman"/>
          <w:b w:val="0"/>
          <w:color w:val="auto"/>
          <w:sz w:val="22"/>
        </w:rPr>
      </w:pPr>
      <w:bookmarkStart w:id="98" w:name="_Toc205981770"/>
      <w:r w:rsidRPr="005D0ED3">
        <w:rPr>
          <w:rFonts w:asciiTheme="minorHAnsi" w:eastAsia="Times New Roman" w:hAnsiTheme="minorHAnsi" w:cs="Times New Roman"/>
          <w:b w:val="0"/>
          <w:color w:val="auto"/>
          <w:sz w:val="22"/>
        </w:rPr>
        <w:t xml:space="preserve">SB </w:t>
      </w:r>
      <w:r w:rsidR="00A0270E">
        <w:rPr>
          <w:rFonts w:asciiTheme="minorHAnsi" w:eastAsia="Times New Roman" w:hAnsiTheme="minorHAnsi" w:cs="Times New Roman"/>
          <w:b w:val="0"/>
          <w:color w:val="auto"/>
          <w:sz w:val="22"/>
        </w:rPr>
        <w:t xml:space="preserve">202 (Jones and Davis), 1002 (Truenow and Trumbull), </w:t>
      </w:r>
      <w:r w:rsidR="006B24FC">
        <w:rPr>
          <w:rFonts w:asciiTheme="minorHAnsi" w:eastAsia="Times New Roman" w:hAnsiTheme="minorHAnsi" w:cs="Times New Roman"/>
          <w:b w:val="0"/>
          <w:color w:val="auto"/>
          <w:sz w:val="22"/>
        </w:rPr>
        <w:t xml:space="preserve">and </w:t>
      </w:r>
      <w:r w:rsidRPr="005D0ED3">
        <w:rPr>
          <w:rFonts w:asciiTheme="minorHAnsi" w:eastAsia="Times New Roman" w:hAnsiTheme="minorHAnsi" w:cs="Times New Roman"/>
          <w:b w:val="0"/>
          <w:color w:val="auto"/>
          <w:sz w:val="22"/>
        </w:rPr>
        <w:t xml:space="preserve">1704 (Calatayud) and CS/CS/HB 1523 (Busatta) would have, among other things: (1)  provided that a municipality that provides electric, gas, water, or wastewater utility services </w:t>
      </w:r>
      <w:r w:rsidR="00776235">
        <w:rPr>
          <w:rFonts w:asciiTheme="minorHAnsi" w:eastAsia="Times New Roman" w:hAnsiTheme="minorHAnsi" w:cs="Times New Roman"/>
          <w:b w:val="0"/>
          <w:color w:val="auto"/>
          <w:sz w:val="22"/>
        </w:rPr>
        <w:t xml:space="preserve">beyond its corporate limits (i.e., </w:t>
      </w:r>
      <w:r w:rsidR="00776235" w:rsidRPr="005D0ED3">
        <w:rPr>
          <w:rFonts w:asciiTheme="minorHAnsi" w:eastAsia="Times New Roman" w:hAnsiTheme="minorHAnsi" w:cs="Times New Roman"/>
          <w:b w:val="0"/>
          <w:color w:val="auto"/>
          <w:sz w:val="22"/>
        </w:rPr>
        <w:t xml:space="preserve">extraterritorial </w:t>
      </w:r>
      <w:r w:rsidR="00776235">
        <w:rPr>
          <w:rFonts w:asciiTheme="minorHAnsi" w:eastAsia="Times New Roman" w:hAnsiTheme="minorHAnsi" w:cs="Times New Roman"/>
          <w:b w:val="0"/>
          <w:color w:val="auto"/>
          <w:sz w:val="22"/>
        </w:rPr>
        <w:t xml:space="preserve">service) </w:t>
      </w:r>
      <w:r w:rsidRPr="005D0ED3">
        <w:rPr>
          <w:rFonts w:asciiTheme="minorHAnsi" w:eastAsia="Times New Roman" w:hAnsiTheme="minorHAnsi" w:cs="Times New Roman"/>
          <w:b w:val="0"/>
          <w:color w:val="auto"/>
          <w:sz w:val="22"/>
        </w:rPr>
        <w:t>may not use more than 10% of the gross revenues generated from such services for general government functions and any such revenues remaining after payment of the utility’s costs to provide the services must be either reinvested in the utility or returned to the extraterritorial customers; (2) eliminated current law authorization for a municipal water or wastewater utility to impose a surcharge of up to 25% on extraterritorial service; (3) imposed limitations on rates, fees, and charges imposed on consumers within its own municipal boundaries if a municipal water or wastewater utility provides extraterritorial service to a separate municipality through use of a treatment plant located within the boundaries of that separate municipality</w:t>
      </w:r>
      <w:r w:rsidR="00A0270E">
        <w:rPr>
          <w:rFonts w:asciiTheme="minorHAnsi" w:eastAsia="Times New Roman" w:hAnsiTheme="minorHAnsi" w:cs="Times New Roman"/>
          <w:b w:val="0"/>
          <w:color w:val="auto"/>
          <w:sz w:val="22"/>
        </w:rPr>
        <w:t xml:space="preserve">; </w:t>
      </w:r>
      <w:r w:rsidR="00A0270E" w:rsidRPr="005D0ED3">
        <w:rPr>
          <w:rFonts w:asciiTheme="minorHAnsi" w:eastAsia="Times New Roman" w:hAnsiTheme="minorHAnsi" w:cs="Times New Roman"/>
          <w:b w:val="0"/>
          <w:color w:val="auto"/>
          <w:sz w:val="22"/>
        </w:rPr>
        <w:t>and</w:t>
      </w:r>
      <w:r w:rsidR="00A0270E">
        <w:rPr>
          <w:rFonts w:asciiTheme="minorHAnsi" w:eastAsia="Times New Roman" w:hAnsiTheme="minorHAnsi" w:cs="Times New Roman"/>
          <w:b w:val="0"/>
          <w:color w:val="auto"/>
          <w:sz w:val="22"/>
        </w:rPr>
        <w:t xml:space="preserve"> (4) preempted local governments from prohibiting or restricting </w:t>
      </w:r>
      <w:r w:rsidR="00A0270E">
        <w:rPr>
          <w:rFonts w:asciiTheme="minorHAnsi" w:eastAsia="Times New Roman" w:hAnsiTheme="minorHAnsi" w:cs="Times New Roman"/>
          <w:b w:val="0"/>
          <w:color w:val="auto"/>
          <w:sz w:val="22"/>
        </w:rPr>
        <w:lastRenderedPageBreak/>
        <w:t>certain fuel sources</w:t>
      </w:r>
      <w:r w:rsidRPr="005D0ED3">
        <w:rPr>
          <w:rFonts w:asciiTheme="minorHAnsi" w:eastAsia="Times New Roman" w:hAnsiTheme="minorHAnsi" w:cs="Times New Roman"/>
          <w:b w:val="0"/>
          <w:color w:val="auto"/>
          <w:sz w:val="22"/>
        </w:rPr>
        <w:t>.</w:t>
      </w:r>
      <w:bookmarkEnd w:id="98"/>
    </w:p>
    <w:p w14:paraId="769A9C59" w14:textId="62F8C7C2" w:rsidR="003F7186" w:rsidRPr="005D0ED3" w:rsidRDefault="003F7186" w:rsidP="00137E1C">
      <w:pPr>
        <w:pStyle w:val="H2"/>
        <w:jc w:val="both"/>
      </w:pPr>
      <w:bookmarkStart w:id="99" w:name="_Toc205981771"/>
      <w:r w:rsidRPr="005D0ED3">
        <w:t>Various Bill</w:t>
      </w:r>
      <w:r w:rsidR="005D0ED3">
        <w:t>s</w:t>
      </w:r>
      <w:r w:rsidRPr="005D0ED3">
        <w:t xml:space="preserve"> Re</w:t>
      </w:r>
      <w:r w:rsidR="007F6373">
        <w:t>lating to</w:t>
      </w:r>
      <w:r w:rsidRPr="005D0ED3">
        <w:t xml:space="preserve"> </w:t>
      </w:r>
      <w:r w:rsidR="00C75E84">
        <w:t xml:space="preserve">Ad Valorem </w:t>
      </w:r>
      <w:r w:rsidRPr="005D0ED3">
        <w:t>Tax Assessments</w:t>
      </w:r>
      <w:bookmarkEnd w:id="99"/>
    </w:p>
    <w:p w14:paraId="27CBC714" w14:textId="6B445AFA" w:rsidR="003F7186" w:rsidRPr="005D0ED3" w:rsidRDefault="003F7186" w:rsidP="00137E1C">
      <w:pPr>
        <w:pStyle w:val="H2"/>
        <w:numPr>
          <w:ilvl w:val="0"/>
          <w:numId w:val="0"/>
        </w:numPr>
        <w:spacing w:after="120"/>
        <w:ind w:left="540"/>
        <w:jc w:val="both"/>
        <w:rPr>
          <w:rFonts w:asciiTheme="minorHAnsi" w:eastAsia="Times New Roman" w:hAnsiTheme="minorHAnsi" w:cs="Times New Roman"/>
          <w:b w:val="0"/>
          <w:color w:val="auto"/>
          <w:sz w:val="22"/>
        </w:rPr>
      </w:pPr>
      <w:bookmarkStart w:id="100" w:name="_Toc205981772"/>
      <w:r w:rsidRPr="005D0ED3">
        <w:rPr>
          <w:rFonts w:asciiTheme="minorHAnsi" w:eastAsia="Times New Roman" w:hAnsiTheme="minorHAnsi" w:cs="Times New Roman"/>
          <w:b w:val="0"/>
          <w:color w:val="auto"/>
          <w:sz w:val="22"/>
        </w:rPr>
        <w:t>There were numerous other bills that failed that were related to local government tax assessments:</w:t>
      </w:r>
      <w:bookmarkEnd w:id="100"/>
    </w:p>
    <w:p w14:paraId="326F6682" w14:textId="3A5402CD" w:rsidR="00852DE3" w:rsidRPr="00C83DB5" w:rsidRDefault="003F7186" w:rsidP="0026135D">
      <w:pPr>
        <w:pStyle w:val="ListParagraph"/>
        <w:numPr>
          <w:ilvl w:val="0"/>
          <w:numId w:val="45"/>
        </w:numPr>
        <w:spacing w:line="276" w:lineRule="auto"/>
        <w:ind w:left="1267"/>
        <w:jc w:val="both"/>
        <w:rPr>
          <w:rFonts w:cstheme="minorHAnsi"/>
          <w:szCs w:val="22"/>
        </w:rPr>
      </w:pPr>
      <w:r w:rsidRPr="003F7186">
        <w:rPr>
          <w:rFonts w:cstheme="minorHAnsi"/>
          <w:b/>
          <w:bCs/>
          <w:szCs w:val="22"/>
        </w:rPr>
        <w:t>Ad Valorem Property Tax Exemption for Surviving Spouses of Quadriplegics</w:t>
      </w:r>
      <w:r w:rsidRPr="005D0ED3">
        <w:rPr>
          <w:rFonts w:cstheme="minorHAnsi"/>
          <w:szCs w:val="22"/>
        </w:rPr>
        <w:t xml:space="preserve"> - </w:t>
      </w:r>
      <w:r w:rsidR="00852DE3" w:rsidRPr="005D0ED3">
        <w:rPr>
          <w:bCs/>
        </w:rPr>
        <w:t xml:space="preserve">HJR 163 (Tant) and SJR 748 (Simon) </w:t>
      </w:r>
      <w:r w:rsidR="00C83DB5">
        <w:rPr>
          <w:bCs/>
        </w:rPr>
        <w:t xml:space="preserve">Proposed an amendment to State Constitution to authorize Legislature to provide for property tax exemption for surviving spouse of quadriplegic who was receiving property tax exemption on real estate used </w:t>
      </w:r>
      <w:r w:rsidR="0026135D">
        <w:rPr>
          <w:bCs/>
        </w:rPr>
        <w:t>and</w:t>
      </w:r>
      <w:r w:rsidR="00C83DB5">
        <w:rPr>
          <w:bCs/>
        </w:rPr>
        <w:t xml:space="preserve"> owned as homestead at time of their death.</w:t>
      </w:r>
    </w:p>
    <w:p w14:paraId="362BC878" w14:textId="3578EC03" w:rsidR="00B44296" w:rsidRPr="00C83DB5" w:rsidRDefault="00852DE3" w:rsidP="0026135D">
      <w:pPr>
        <w:pStyle w:val="ListParagraph"/>
        <w:numPr>
          <w:ilvl w:val="0"/>
          <w:numId w:val="45"/>
        </w:numPr>
        <w:spacing w:line="276" w:lineRule="auto"/>
        <w:ind w:left="1267"/>
        <w:jc w:val="both"/>
        <w:rPr>
          <w:bCs/>
        </w:rPr>
      </w:pPr>
      <w:r w:rsidRPr="00852DE3">
        <w:rPr>
          <w:rFonts w:cstheme="minorHAnsi"/>
          <w:b/>
          <w:bCs/>
          <w:szCs w:val="22"/>
        </w:rPr>
        <w:t xml:space="preserve">Ad Valorem </w:t>
      </w:r>
      <w:r w:rsidR="00F15D1F" w:rsidRPr="00852DE3">
        <w:rPr>
          <w:rFonts w:cstheme="minorHAnsi"/>
          <w:b/>
          <w:bCs/>
          <w:szCs w:val="22"/>
        </w:rPr>
        <w:t xml:space="preserve">Tax </w:t>
      </w:r>
      <w:r w:rsidR="00F15D1F" w:rsidRPr="005D0ED3">
        <w:rPr>
          <w:rFonts w:cstheme="minorHAnsi"/>
          <w:b/>
          <w:bCs/>
          <w:szCs w:val="22"/>
        </w:rPr>
        <w:t>-</w:t>
      </w:r>
      <w:r w:rsidRPr="005D0ED3">
        <w:rPr>
          <w:bCs/>
        </w:rPr>
        <w:t xml:space="preserve"> </w:t>
      </w:r>
      <w:r w:rsidRPr="00852DE3">
        <w:rPr>
          <w:bCs/>
        </w:rPr>
        <w:t xml:space="preserve">SB 1308 (Ingoglia) </w:t>
      </w:r>
      <w:r w:rsidR="00F15D1F">
        <w:rPr>
          <w:bCs/>
        </w:rPr>
        <w:t>would</w:t>
      </w:r>
      <w:r w:rsidR="00C83DB5">
        <w:rPr>
          <w:bCs/>
        </w:rPr>
        <w:t xml:space="preserve"> have authorized a county or municipality, respectively, to establish an ad valorem tax rebate program for property owners</w:t>
      </w:r>
      <w:r w:rsidR="003371D6">
        <w:rPr>
          <w:bCs/>
        </w:rPr>
        <w:t>.</w:t>
      </w:r>
    </w:p>
    <w:p w14:paraId="0B36445E" w14:textId="44FDEE01" w:rsidR="00852DE3" w:rsidRPr="005D0ED3" w:rsidRDefault="00852DE3" w:rsidP="00852DE3">
      <w:pPr>
        <w:pStyle w:val="ListParagraph"/>
        <w:numPr>
          <w:ilvl w:val="0"/>
          <w:numId w:val="6"/>
        </w:numPr>
        <w:spacing w:line="276" w:lineRule="auto"/>
        <w:ind w:left="1267"/>
        <w:jc w:val="both"/>
        <w:rPr>
          <w:bCs/>
        </w:rPr>
      </w:pPr>
      <w:r w:rsidRPr="00852DE3">
        <w:rPr>
          <w:rFonts w:cstheme="minorHAnsi"/>
          <w:b/>
          <w:bCs/>
          <w:szCs w:val="22"/>
        </w:rPr>
        <w:t>Ad Valorem Tax Exemption</w:t>
      </w:r>
      <w:r w:rsidRPr="005D0ED3">
        <w:rPr>
          <w:rFonts w:cstheme="minorHAnsi"/>
          <w:b/>
          <w:bCs/>
          <w:szCs w:val="22"/>
        </w:rPr>
        <w:t xml:space="preserve"> </w:t>
      </w:r>
      <w:r w:rsidRPr="005D0ED3">
        <w:rPr>
          <w:rFonts w:cstheme="minorHAnsi"/>
          <w:szCs w:val="22"/>
        </w:rPr>
        <w:t xml:space="preserve">- </w:t>
      </w:r>
      <w:r w:rsidRPr="005D0ED3">
        <w:rPr>
          <w:bCs/>
        </w:rPr>
        <w:t>CS/HJR 1215 (Alvarez, D.) and CS/SJR 318</w:t>
      </w:r>
      <w:r w:rsidR="00B53CCF">
        <w:rPr>
          <w:bCs/>
        </w:rPr>
        <w:t xml:space="preserve"> (Truenow)</w:t>
      </w:r>
      <w:r w:rsidR="00C83DB5">
        <w:rPr>
          <w:bCs/>
        </w:rPr>
        <w:t xml:space="preserve"> Proposed a Constitutional amendment that exempts tangible personal property from ad valorem tax provided certain conditions exist.  Includes Ad valorem exemption for tangible personal property on land classified as agricultural.  Companion bill HRJ 1215 passed.</w:t>
      </w:r>
    </w:p>
    <w:p w14:paraId="3BE97276" w14:textId="10122824" w:rsidR="00852DE3" w:rsidRPr="00C83DB5" w:rsidRDefault="00852DE3" w:rsidP="0026135D">
      <w:pPr>
        <w:pStyle w:val="ListParagraph"/>
        <w:numPr>
          <w:ilvl w:val="0"/>
          <w:numId w:val="45"/>
        </w:numPr>
        <w:spacing w:line="276" w:lineRule="auto"/>
        <w:ind w:left="1267"/>
        <w:jc w:val="both"/>
        <w:rPr>
          <w:bCs/>
        </w:rPr>
      </w:pPr>
      <w:r w:rsidRPr="00852DE3">
        <w:rPr>
          <w:rFonts w:cstheme="minorHAnsi"/>
          <w:b/>
          <w:bCs/>
          <w:szCs w:val="22"/>
        </w:rPr>
        <w:t>Ad Valorem Tax Exemption for Nonpro</w:t>
      </w:r>
      <w:r w:rsidR="00C83DB5">
        <w:rPr>
          <w:rFonts w:cstheme="minorHAnsi"/>
          <w:b/>
          <w:bCs/>
          <w:szCs w:val="22"/>
        </w:rPr>
        <w:t>f</w:t>
      </w:r>
      <w:r w:rsidRPr="00852DE3">
        <w:rPr>
          <w:rFonts w:cstheme="minorHAnsi"/>
          <w:b/>
          <w:bCs/>
          <w:szCs w:val="22"/>
        </w:rPr>
        <w:t>it Homes for the Aged</w:t>
      </w:r>
      <w:r w:rsidRPr="005D0ED3">
        <w:rPr>
          <w:rFonts w:cstheme="minorHAnsi"/>
          <w:b/>
          <w:bCs/>
          <w:szCs w:val="22"/>
        </w:rPr>
        <w:t xml:space="preserve"> </w:t>
      </w:r>
      <w:r w:rsidRPr="005D0ED3">
        <w:rPr>
          <w:bCs/>
        </w:rPr>
        <w:t>- SB 298 (Wright) and HB 321 (Smith)</w:t>
      </w:r>
      <w:r w:rsidR="00C83DB5">
        <w:rPr>
          <w:bCs/>
        </w:rPr>
        <w:t xml:space="preserve"> </w:t>
      </w:r>
      <w:r w:rsidR="0026135D">
        <w:rPr>
          <w:bCs/>
        </w:rPr>
        <w:t>would</w:t>
      </w:r>
      <w:r w:rsidR="00C83DB5">
        <w:rPr>
          <w:bCs/>
        </w:rPr>
        <w:t xml:space="preserve"> have revised Florida’s ad valorem tax exemption criteria for nonprofit homes for the aged. The bills clarify that to qualify for the exemption, an organization must </w:t>
      </w:r>
      <w:r w:rsidR="0026135D">
        <w:rPr>
          <w:bCs/>
        </w:rPr>
        <w:t>be either</w:t>
      </w:r>
      <w:r w:rsidR="00C83DB5">
        <w:rPr>
          <w:bCs/>
        </w:rPr>
        <w:t xml:space="preserve"> a not-for-profit entity organized under Chapter 617, Florida Statutes, or be an unlicensed entity under Chapter 429 that is wholly owned by a not-for-profit corporation formed under Chapter 617.</w:t>
      </w:r>
    </w:p>
    <w:p w14:paraId="05D8E812" w14:textId="17168BBD" w:rsidR="00852DE3" w:rsidRPr="00C83DB5" w:rsidRDefault="00852DE3" w:rsidP="0026135D">
      <w:pPr>
        <w:pStyle w:val="ListParagraph"/>
        <w:numPr>
          <w:ilvl w:val="0"/>
          <w:numId w:val="45"/>
        </w:numPr>
        <w:spacing w:line="276" w:lineRule="auto"/>
        <w:ind w:left="1267"/>
        <w:jc w:val="both"/>
        <w:rPr>
          <w:bCs/>
        </w:rPr>
      </w:pPr>
      <w:r w:rsidRPr="00852DE3">
        <w:rPr>
          <w:rFonts w:cstheme="minorHAnsi"/>
          <w:b/>
          <w:bCs/>
          <w:szCs w:val="22"/>
        </w:rPr>
        <w:t>Ad Valorem Taxation</w:t>
      </w:r>
      <w:r w:rsidRPr="005D0ED3">
        <w:rPr>
          <w:rFonts w:cstheme="minorHAnsi"/>
          <w:b/>
          <w:bCs/>
          <w:szCs w:val="22"/>
        </w:rPr>
        <w:t xml:space="preserve"> </w:t>
      </w:r>
      <w:r w:rsidRPr="005D0ED3">
        <w:rPr>
          <w:rFonts w:cstheme="minorHAnsi"/>
          <w:szCs w:val="22"/>
        </w:rPr>
        <w:t xml:space="preserve">- </w:t>
      </w:r>
      <w:r w:rsidRPr="005D0ED3">
        <w:rPr>
          <w:bCs/>
        </w:rPr>
        <w:t>HB 227 (Caruso) and SB 378 (Harrell)</w:t>
      </w:r>
      <w:r w:rsidR="00C83DB5">
        <w:rPr>
          <w:bCs/>
        </w:rPr>
        <w:t xml:space="preserve"> </w:t>
      </w:r>
      <w:r w:rsidR="00841A9E">
        <w:rPr>
          <w:bCs/>
        </w:rPr>
        <w:t>would</w:t>
      </w:r>
      <w:r w:rsidR="00C83DB5">
        <w:rPr>
          <w:bCs/>
        </w:rPr>
        <w:t xml:space="preserve"> have allowed property owners who applied for a homestead exemption to withdraw their application between August 1 and September 15 of the same tax year, provided they meet specific eligibility criteria. It also authorizes the Department of Revenue to adopt emergency rules to implement these provisions.  Additionally, the bill expands the definition of an exempt organization.</w:t>
      </w:r>
    </w:p>
    <w:p w14:paraId="6D4BADCA" w14:textId="592145FE" w:rsidR="00852DE3" w:rsidRPr="00C83DB5" w:rsidRDefault="00B91C59" w:rsidP="0026135D">
      <w:pPr>
        <w:pStyle w:val="ListParagraph"/>
        <w:numPr>
          <w:ilvl w:val="0"/>
          <w:numId w:val="45"/>
        </w:numPr>
        <w:spacing w:line="276" w:lineRule="auto"/>
        <w:ind w:left="1267"/>
        <w:jc w:val="both"/>
        <w:rPr>
          <w:bCs/>
        </w:rPr>
      </w:pPr>
      <w:r w:rsidRPr="00B91C59">
        <w:rPr>
          <w:rFonts w:cstheme="minorHAnsi"/>
          <w:b/>
          <w:bCs/>
          <w:szCs w:val="22"/>
        </w:rPr>
        <w:t>Affordable Property Ad Valorem Tax Exemption on Leased Land</w:t>
      </w:r>
      <w:r w:rsidR="00852DE3" w:rsidRPr="005D0ED3">
        <w:rPr>
          <w:rFonts w:cstheme="minorHAnsi"/>
          <w:b/>
          <w:bCs/>
          <w:szCs w:val="22"/>
        </w:rPr>
        <w:t xml:space="preserve"> </w:t>
      </w:r>
      <w:r w:rsidR="00852DE3" w:rsidRPr="005D0ED3">
        <w:rPr>
          <w:bCs/>
        </w:rPr>
        <w:t xml:space="preserve">- </w:t>
      </w:r>
      <w:r w:rsidRPr="005D0ED3">
        <w:rPr>
          <w:bCs/>
        </w:rPr>
        <w:t>CS/HB 411 (Chaney) and SB 488 (DiCeglie)</w:t>
      </w:r>
      <w:r w:rsidR="00C83DB5">
        <w:rPr>
          <w:bCs/>
        </w:rPr>
        <w:t xml:space="preserve"> </w:t>
      </w:r>
      <w:r w:rsidR="00841A9E">
        <w:rPr>
          <w:bCs/>
        </w:rPr>
        <w:t>would</w:t>
      </w:r>
      <w:r w:rsidR="00C83DB5">
        <w:rPr>
          <w:bCs/>
        </w:rPr>
        <w:t xml:space="preserve"> have allowed land leased from a Housing Finance Authority under specific conditions to qualify for ad valorem tax exemptions. The land must be leased for a minimum of 99 years and predominantly used for qualifying housing purposes.</w:t>
      </w:r>
    </w:p>
    <w:p w14:paraId="0B570184" w14:textId="5BD6910D" w:rsidR="00852DE3" w:rsidRPr="00C83DB5" w:rsidRDefault="00B91C59" w:rsidP="0026135D">
      <w:pPr>
        <w:pStyle w:val="ListParagraph"/>
        <w:numPr>
          <w:ilvl w:val="0"/>
          <w:numId w:val="45"/>
        </w:numPr>
        <w:spacing w:line="276" w:lineRule="auto"/>
        <w:ind w:left="1267"/>
        <w:jc w:val="both"/>
        <w:rPr>
          <w:bCs/>
        </w:rPr>
      </w:pPr>
      <w:r w:rsidRPr="00B91C59">
        <w:rPr>
          <w:rFonts w:cstheme="minorHAnsi"/>
          <w:b/>
          <w:bCs/>
          <w:szCs w:val="22"/>
        </w:rPr>
        <w:t>Assessments Levied on Recreational Vehicle Parks</w:t>
      </w:r>
      <w:r w:rsidR="00852DE3" w:rsidRPr="005D0ED3">
        <w:rPr>
          <w:rFonts w:cstheme="minorHAnsi"/>
          <w:b/>
          <w:bCs/>
          <w:szCs w:val="22"/>
        </w:rPr>
        <w:t xml:space="preserve"> </w:t>
      </w:r>
      <w:r w:rsidR="00852DE3" w:rsidRPr="005D0ED3">
        <w:rPr>
          <w:bCs/>
        </w:rPr>
        <w:t xml:space="preserve">- </w:t>
      </w:r>
      <w:r w:rsidRPr="005D0ED3">
        <w:rPr>
          <w:bCs/>
        </w:rPr>
        <w:t>SB 530 (Burgess)</w:t>
      </w:r>
      <w:r w:rsidR="00C83DB5">
        <w:rPr>
          <w:bCs/>
        </w:rPr>
        <w:t xml:space="preserve"> Would have provided that a non-ad valorem special assessment on a recreational vehicle park levied by a county, municipality, or special district, respectively, may not be levied against a certain portion of a recreational vehicle parking space or campsite</w:t>
      </w:r>
    </w:p>
    <w:p w14:paraId="23E1E46B" w14:textId="4AE30E9B" w:rsidR="00852DE3" w:rsidRPr="005D0ED3" w:rsidRDefault="00FF33F8" w:rsidP="00FF33F8">
      <w:pPr>
        <w:pStyle w:val="ListParagraph"/>
        <w:numPr>
          <w:ilvl w:val="0"/>
          <w:numId w:val="6"/>
        </w:numPr>
        <w:spacing w:line="276" w:lineRule="auto"/>
        <w:ind w:left="1267"/>
        <w:jc w:val="both"/>
        <w:rPr>
          <w:bCs/>
        </w:rPr>
      </w:pPr>
      <w:r w:rsidRPr="00FF33F8">
        <w:rPr>
          <w:rFonts w:cstheme="minorHAnsi"/>
          <w:b/>
          <w:bCs/>
          <w:szCs w:val="22"/>
        </w:rPr>
        <w:t xml:space="preserve">Assessment of Homestead Property </w:t>
      </w:r>
      <w:r w:rsidR="00852DE3" w:rsidRPr="005D0ED3">
        <w:rPr>
          <w:rFonts w:cstheme="minorHAnsi"/>
          <w:szCs w:val="22"/>
        </w:rPr>
        <w:t xml:space="preserve">- </w:t>
      </w:r>
      <w:r w:rsidRPr="005D0ED3">
        <w:rPr>
          <w:bCs/>
        </w:rPr>
        <w:t>CS/SB 176 (DiCeglie)</w:t>
      </w:r>
      <w:r w:rsidR="00C83DB5">
        <w:rPr>
          <w:bCs/>
        </w:rPr>
        <w:t xml:space="preserve"> CS/SB 176 (DiCeglie) </w:t>
      </w:r>
      <w:r w:rsidR="00841A9E">
        <w:rPr>
          <w:bCs/>
        </w:rPr>
        <w:t>would</w:t>
      </w:r>
      <w:r w:rsidR="00C83DB5">
        <w:rPr>
          <w:bCs/>
        </w:rPr>
        <w:t xml:space="preserve"> have required that changes, additions, or improvements that replace or are made to elevate homestead property be assessed in a specified manner.</w:t>
      </w:r>
    </w:p>
    <w:p w14:paraId="4B04DFBF" w14:textId="4B957523" w:rsidR="00852DE3" w:rsidRPr="00C83DB5" w:rsidRDefault="00DB200A" w:rsidP="0026135D">
      <w:pPr>
        <w:pStyle w:val="ListParagraph"/>
        <w:numPr>
          <w:ilvl w:val="0"/>
          <w:numId w:val="45"/>
        </w:numPr>
        <w:spacing w:line="276" w:lineRule="auto"/>
        <w:ind w:left="1267"/>
        <w:jc w:val="both"/>
        <w:rPr>
          <w:rFonts w:cstheme="minorHAnsi"/>
          <w:szCs w:val="22"/>
        </w:rPr>
      </w:pPr>
      <w:r w:rsidRPr="00DB200A">
        <w:rPr>
          <w:rFonts w:cstheme="minorHAnsi"/>
          <w:b/>
          <w:bCs/>
          <w:szCs w:val="22"/>
        </w:rPr>
        <w:t>Assessment of Property Used for Residential Purposes</w:t>
      </w:r>
      <w:r w:rsidR="00852DE3" w:rsidRPr="005D0ED3">
        <w:rPr>
          <w:rFonts w:cstheme="minorHAnsi"/>
          <w:b/>
          <w:bCs/>
          <w:szCs w:val="22"/>
        </w:rPr>
        <w:t xml:space="preserve"> </w:t>
      </w:r>
      <w:r w:rsidR="00852DE3" w:rsidRPr="005D0ED3">
        <w:rPr>
          <w:rFonts w:cstheme="minorHAnsi"/>
          <w:szCs w:val="22"/>
        </w:rPr>
        <w:t xml:space="preserve">- </w:t>
      </w:r>
      <w:r w:rsidRPr="005D0ED3">
        <w:rPr>
          <w:bCs/>
        </w:rPr>
        <w:t>CS/HB 1339 (Overdorf) and SB 1176 (Leek)</w:t>
      </w:r>
      <w:r w:rsidR="00C83DB5">
        <w:rPr>
          <w:bCs/>
        </w:rPr>
        <w:t xml:space="preserve"> would have excluded the value of wind resistance improvements to </w:t>
      </w:r>
      <w:r w:rsidR="00C83DB5">
        <w:rPr>
          <w:bCs/>
        </w:rPr>
        <w:lastRenderedPageBreak/>
        <w:t>residential properties from being included in the property's annual taxable value assessment.</w:t>
      </w:r>
    </w:p>
    <w:p w14:paraId="6DBF74D2" w14:textId="7D3413EC" w:rsidR="00B53CCF" w:rsidRPr="00C83DB5" w:rsidRDefault="00B53CCF" w:rsidP="0026135D">
      <w:pPr>
        <w:pStyle w:val="ListParagraph"/>
        <w:numPr>
          <w:ilvl w:val="0"/>
          <w:numId w:val="45"/>
        </w:numPr>
        <w:spacing w:line="276" w:lineRule="auto"/>
        <w:ind w:left="1267"/>
        <w:jc w:val="both"/>
        <w:rPr>
          <w:bCs/>
        </w:rPr>
      </w:pPr>
      <w:r>
        <w:rPr>
          <w:rFonts w:cstheme="minorHAnsi"/>
          <w:b/>
          <w:bCs/>
          <w:szCs w:val="22"/>
        </w:rPr>
        <w:t>Assessed Value Freeze of Homestead Property</w:t>
      </w:r>
      <w:r w:rsidRPr="005D0ED3">
        <w:rPr>
          <w:rFonts w:cstheme="minorHAnsi"/>
          <w:b/>
          <w:bCs/>
          <w:szCs w:val="22"/>
        </w:rPr>
        <w:t xml:space="preserve"> </w:t>
      </w:r>
      <w:r w:rsidRPr="005D0ED3">
        <w:rPr>
          <w:rFonts w:cstheme="minorHAnsi"/>
          <w:szCs w:val="22"/>
        </w:rPr>
        <w:t xml:space="preserve">- </w:t>
      </w:r>
      <w:r w:rsidRPr="005D0ED3">
        <w:rPr>
          <w:bCs/>
        </w:rPr>
        <w:t>HJR 1025 (Borrero) and SJR 326 (Rodriguez)</w:t>
      </w:r>
      <w:r w:rsidR="00E4148D">
        <w:rPr>
          <w:bCs/>
        </w:rPr>
        <w:t xml:space="preserve"> </w:t>
      </w:r>
      <w:r w:rsidRPr="005D0ED3">
        <w:rPr>
          <w:bCs/>
        </w:rPr>
        <w:t>and implementing bills HB 1027 (Borrero) and SB 1178 (Rodriguez), respectively.</w:t>
      </w:r>
      <w:r w:rsidR="00C83DB5">
        <w:rPr>
          <w:bCs/>
        </w:rPr>
        <w:t xml:space="preserve"> Would have made changes to homestead exemptions for certain low-income seniors. Under the proposed bill, the assessed value of a qualifying homeowner's property would be frozen at the amount it was valued when the homeowner turned 65 years old.</w:t>
      </w:r>
    </w:p>
    <w:p w14:paraId="632C49B4" w14:textId="77777777" w:rsidR="00C83DB5" w:rsidRDefault="00BF1429" w:rsidP="00C83DB5">
      <w:pPr>
        <w:pStyle w:val="ListParagraph"/>
        <w:numPr>
          <w:ilvl w:val="0"/>
          <w:numId w:val="45"/>
        </w:numPr>
        <w:spacing w:line="276" w:lineRule="auto"/>
        <w:ind w:left="1267"/>
        <w:jc w:val="both"/>
        <w:rPr>
          <w:bCs/>
        </w:rPr>
      </w:pPr>
      <w:r w:rsidRPr="00350F10">
        <w:rPr>
          <w:rFonts w:cstheme="minorHAnsi"/>
          <w:b/>
          <w:bCs/>
          <w:szCs w:val="22"/>
        </w:rPr>
        <w:t>Deferred and Unpaid Taxes</w:t>
      </w:r>
      <w:r>
        <w:rPr>
          <w:bCs/>
        </w:rPr>
        <w:t xml:space="preserve"> – HB 761 (Casello) and SB 882 (Berman)</w:t>
      </w:r>
      <w:r w:rsidR="00C83DB5">
        <w:rPr>
          <w:bCs/>
        </w:rPr>
        <w:t xml:space="preserve"> would have modified Florida's tax code by updating the rules for homestead tax deferrals and the sale of tax certificates. It limits eligibility for tax deferral on homestead properties to those with a just value of $1 million or less. Additionally, it raises the minimum value required for issuing a tax certificate from $250 to $500.</w:t>
      </w:r>
    </w:p>
    <w:p w14:paraId="13164211" w14:textId="6DDEC12F" w:rsidR="00BF1429" w:rsidRPr="00C83DB5" w:rsidRDefault="00BF1429" w:rsidP="0026135D">
      <w:pPr>
        <w:spacing w:line="276" w:lineRule="auto"/>
        <w:jc w:val="both"/>
        <w:rPr>
          <w:bCs/>
        </w:rPr>
      </w:pPr>
    </w:p>
    <w:p w14:paraId="049F16D1" w14:textId="6D9EF0E8" w:rsidR="00DB200A" w:rsidRPr="00C83DB5" w:rsidRDefault="00DB200A" w:rsidP="0026135D">
      <w:pPr>
        <w:pStyle w:val="ListParagraph"/>
        <w:numPr>
          <w:ilvl w:val="0"/>
          <w:numId w:val="45"/>
        </w:numPr>
        <w:spacing w:line="276" w:lineRule="auto"/>
        <w:ind w:left="1267"/>
        <w:jc w:val="both"/>
        <w:rPr>
          <w:bCs/>
        </w:rPr>
      </w:pPr>
      <w:r w:rsidRPr="00DB200A">
        <w:rPr>
          <w:rFonts w:cstheme="minorHAnsi"/>
          <w:b/>
          <w:bCs/>
          <w:szCs w:val="22"/>
        </w:rPr>
        <w:t>Exemption from Ad Valorem Taxes of Child Care Facilities</w:t>
      </w:r>
      <w:r w:rsidR="00852DE3" w:rsidRPr="005D0ED3">
        <w:rPr>
          <w:rFonts w:cstheme="minorHAnsi"/>
          <w:b/>
          <w:bCs/>
          <w:szCs w:val="22"/>
        </w:rPr>
        <w:t xml:space="preserve"> </w:t>
      </w:r>
      <w:r w:rsidR="00852DE3" w:rsidRPr="005D0ED3">
        <w:rPr>
          <w:rFonts w:cstheme="minorHAnsi"/>
          <w:szCs w:val="22"/>
        </w:rPr>
        <w:t xml:space="preserve">- </w:t>
      </w:r>
      <w:r w:rsidRPr="005D0ED3">
        <w:rPr>
          <w:bCs/>
        </w:rPr>
        <w:t>SB 1306 (Calatayud)</w:t>
      </w:r>
      <w:r w:rsidR="00C83DB5">
        <w:rPr>
          <w:bCs/>
        </w:rPr>
        <w:t xml:space="preserve"> would have made any portion of a property used as a child care facility that has earned Gold Seal Quality status under s. 1002.945 is exempt from ad valorem taxation, whether the property is owned or leased.  It also provided certain direction if the property is leased.</w:t>
      </w:r>
    </w:p>
    <w:p w14:paraId="0206CC32" w14:textId="36E09981" w:rsidR="00DB200A" w:rsidRPr="00C83DB5" w:rsidRDefault="00DB200A" w:rsidP="0026135D">
      <w:pPr>
        <w:pStyle w:val="ListParagraph"/>
        <w:numPr>
          <w:ilvl w:val="0"/>
          <w:numId w:val="45"/>
        </w:numPr>
        <w:spacing w:line="276" w:lineRule="auto"/>
        <w:ind w:left="1267"/>
        <w:jc w:val="both"/>
        <w:rPr>
          <w:bCs/>
        </w:rPr>
      </w:pPr>
      <w:r w:rsidRPr="00DB200A">
        <w:rPr>
          <w:rFonts w:cstheme="minorHAnsi"/>
          <w:b/>
          <w:bCs/>
          <w:szCs w:val="22"/>
        </w:rPr>
        <w:t>Homestead Property Assess</w:t>
      </w:r>
      <w:r w:rsidR="00167CF5" w:rsidRPr="00167CF5">
        <w:rPr>
          <w:rFonts w:cstheme="minorHAnsi"/>
          <w:b/>
          <w:bCs/>
          <w:szCs w:val="22"/>
        </w:rPr>
        <w:t>m</w:t>
      </w:r>
      <w:r w:rsidRPr="00DB200A">
        <w:rPr>
          <w:rFonts w:cstheme="minorHAnsi"/>
          <w:b/>
          <w:bCs/>
          <w:szCs w:val="22"/>
        </w:rPr>
        <w:t>e</w:t>
      </w:r>
      <w:r w:rsidR="00167CF5" w:rsidRPr="00167CF5">
        <w:rPr>
          <w:rFonts w:cstheme="minorHAnsi"/>
          <w:b/>
          <w:bCs/>
          <w:szCs w:val="22"/>
        </w:rPr>
        <w:t>nts</w:t>
      </w:r>
      <w:r w:rsidRPr="00167CF5">
        <w:rPr>
          <w:rFonts w:cstheme="minorHAnsi"/>
          <w:b/>
          <w:bCs/>
          <w:szCs w:val="22"/>
        </w:rPr>
        <w:t xml:space="preserve"> </w:t>
      </w:r>
      <w:r w:rsidRPr="00167CF5">
        <w:rPr>
          <w:rFonts w:cstheme="minorHAnsi"/>
          <w:szCs w:val="22"/>
        </w:rPr>
        <w:t xml:space="preserve">- </w:t>
      </w:r>
      <w:r w:rsidRPr="00167CF5">
        <w:rPr>
          <w:bCs/>
        </w:rPr>
        <w:t>HJR 1039 (Berfield) and SJR 174 (DiCeglie)</w:t>
      </w:r>
      <w:r w:rsidR="00167CF5" w:rsidRPr="00167CF5">
        <w:rPr>
          <w:bCs/>
        </w:rPr>
        <w:t>, and implementing</w:t>
      </w:r>
      <w:r w:rsidR="00167CF5" w:rsidRPr="005D0ED3">
        <w:rPr>
          <w:bCs/>
        </w:rPr>
        <w:t xml:space="preserve"> bills </w:t>
      </w:r>
      <w:r w:rsidR="00167CF5">
        <w:rPr>
          <w:bCs/>
        </w:rPr>
        <w:t>CS/</w:t>
      </w:r>
      <w:r w:rsidR="00167CF5" w:rsidRPr="005D0ED3">
        <w:rPr>
          <w:bCs/>
        </w:rPr>
        <w:t>HB 10</w:t>
      </w:r>
      <w:r w:rsidR="00167CF5">
        <w:rPr>
          <w:bCs/>
        </w:rPr>
        <w:t>41</w:t>
      </w:r>
      <w:r w:rsidR="00167CF5" w:rsidRPr="005D0ED3">
        <w:rPr>
          <w:bCs/>
        </w:rPr>
        <w:t xml:space="preserve"> (Berfield) and </w:t>
      </w:r>
      <w:r w:rsidR="00167CF5">
        <w:rPr>
          <w:bCs/>
        </w:rPr>
        <w:t>CS/</w:t>
      </w:r>
      <w:r w:rsidR="00167CF5" w:rsidRPr="005D0ED3">
        <w:rPr>
          <w:bCs/>
        </w:rPr>
        <w:t>SB 1178 (DiCeglie), respectively.</w:t>
      </w:r>
      <w:r w:rsidR="00C83DB5">
        <w:rPr>
          <w:bCs/>
        </w:rPr>
        <w:t xml:space="preserve"> These bills would have prohibited increased assessed value made from flood mitigation improvements.</w:t>
      </w:r>
    </w:p>
    <w:p w14:paraId="2E664546" w14:textId="4EB77887" w:rsidR="00DB200A" w:rsidRPr="00C83DB5" w:rsidRDefault="00DB200A" w:rsidP="0026135D">
      <w:pPr>
        <w:pStyle w:val="ListParagraph"/>
        <w:numPr>
          <w:ilvl w:val="0"/>
          <w:numId w:val="45"/>
        </w:numPr>
        <w:spacing w:line="276" w:lineRule="auto"/>
        <w:ind w:left="1267"/>
        <w:jc w:val="both"/>
        <w:rPr>
          <w:bCs/>
        </w:rPr>
      </w:pPr>
      <w:r w:rsidRPr="00DB200A">
        <w:rPr>
          <w:rFonts w:cstheme="minorHAnsi"/>
          <w:b/>
          <w:bCs/>
          <w:szCs w:val="22"/>
        </w:rPr>
        <w:t>Homestead Property Assessment Limitation</w:t>
      </w:r>
      <w:r w:rsidRPr="005D0ED3">
        <w:rPr>
          <w:rFonts w:cstheme="minorHAnsi"/>
          <w:b/>
          <w:bCs/>
          <w:szCs w:val="22"/>
        </w:rPr>
        <w:t xml:space="preserve"> </w:t>
      </w:r>
      <w:r w:rsidRPr="005D0ED3">
        <w:rPr>
          <w:rFonts w:cstheme="minorHAnsi"/>
          <w:szCs w:val="22"/>
        </w:rPr>
        <w:t xml:space="preserve">- </w:t>
      </w:r>
      <w:r w:rsidRPr="005D0ED3">
        <w:rPr>
          <w:bCs/>
        </w:rPr>
        <w:t>SJR 1190 (Ingoglia)</w:t>
      </w:r>
      <w:r w:rsidR="00C83DB5">
        <w:rPr>
          <w:bCs/>
        </w:rPr>
        <w:t xml:space="preserve"> Proposed amendments to the State Constitution to authorize the Legislature, by general law, to prohibit the consideration of any change or improvement made to homestead property to mitigate flood damage in determining the assessed value of such property for ad valorem taxation purposes.</w:t>
      </w:r>
    </w:p>
    <w:p w14:paraId="247C5158" w14:textId="545CEBC7" w:rsidR="00DB200A" w:rsidRPr="00C83DB5" w:rsidRDefault="00DB200A" w:rsidP="0026135D">
      <w:pPr>
        <w:pStyle w:val="ListParagraph"/>
        <w:numPr>
          <w:ilvl w:val="0"/>
          <w:numId w:val="45"/>
        </w:numPr>
        <w:spacing w:line="276" w:lineRule="auto"/>
        <w:ind w:left="1267"/>
        <w:jc w:val="both"/>
        <w:rPr>
          <w:bCs/>
        </w:rPr>
      </w:pPr>
      <w:r w:rsidRPr="00DB200A">
        <w:rPr>
          <w:rFonts w:cstheme="minorHAnsi"/>
          <w:b/>
          <w:bCs/>
          <w:szCs w:val="22"/>
        </w:rPr>
        <w:t>Improvement to Structures on Agricultural Lands</w:t>
      </w:r>
      <w:r w:rsidRPr="005D0ED3">
        <w:rPr>
          <w:rFonts w:cstheme="minorHAnsi"/>
          <w:b/>
          <w:bCs/>
          <w:szCs w:val="22"/>
        </w:rPr>
        <w:t xml:space="preserve"> </w:t>
      </w:r>
      <w:r w:rsidRPr="005D0ED3">
        <w:rPr>
          <w:rFonts w:cstheme="minorHAnsi"/>
          <w:szCs w:val="22"/>
        </w:rPr>
        <w:t xml:space="preserve">- </w:t>
      </w:r>
      <w:r w:rsidRPr="005D0ED3">
        <w:rPr>
          <w:bCs/>
        </w:rPr>
        <w:t>HB 589 (Brackett) and SB 786 (Truenow)</w:t>
      </w:r>
      <w:r w:rsidR="00C83DB5">
        <w:rPr>
          <w:bCs/>
        </w:rPr>
        <w:t xml:space="preserve"> Proposed providing an exemption from property tax valuation assessments for any improvements for agricultural purposes on lands classified as agricultural.</w:t>
      </w:r>
    </w:p>
    <w:p w14:paraId="37B88E6E" w14:textId="3EF0EFD3" w:rsidR="00FB37CA" w:rsidRPr="00C83DB5" w:rsidRDefault="00FB37CA" w:rsidP="0026135D">
      <w:pPr>
        <w:pStyle w:val="ListParagraph"/>
        <w:numPr>
          <w:ilvl w:val="0"/>
          <w:numId w:val="45"/>
        </w:numPr>
        <w:spacing w:line="276" w:lineRule="auto"/>
        <w:ind w:left="1267"/>
        <w:jc w:val="both"/>
        <w:rPr>
          <w:bCs/>
        </w:rPr>
      </w:pPr>
      <w:r w:rsidRPr="00281D0B">
        <w:rPr>
          <w:rFonts w:cstheme="minorHAnsi"/>
          <w:b/>
          <w:bCs/>
          <w:szCs w:val="22"/>
        </w:rPr>
        <w:t>Local Government Approval of Affordable Housing Property Tax Exemptions</w:t>
      </w:r>
      <w:r>
        <w:rPr>
          <w:rFonts w:cstheme="minorHAnsi"/>
          <w:b/>
          <w:bCs/>
          <w:szCs w:val="22"/>
        </w:rPr>
        <w:t xml:space="preserve"> </w:t>
      </w:r>
      <w:r w:rsidRPr="00281D0B">
        <w:rPr>
          <w:bCs/>
        </w:rPr>
        <w:t>– HB 617 (Lopez)</w:t>
      </w:r>
      <w:r w:rsidR="00C83DB5">
        <w:rPr>
          <w:bCs/>
        </w:rPr>
        <w:t xml:space="preserve"> Further defined properties eligible for affordable housing tax exemptions and reporting requirements.  The local governing body must ensure that the property serves persons or families serve low to moderate income and the property appraiser must conduct annual compliance reviews.</w:t>
      </w:r>
    </w:p>
    <w:p w14:paraId="50495850" w14:textId="0A3D37B2" w:rsidR="00DB200A" w:rsidRPr="00C83DB5" w:rsidRDefault="0024038D" w:rsidP="0026135D">
      <w:pPr>
        <w:pStyle w:val="ListParagraph"/>
        <w:numPr>
          <w:ilvl w:val="0"/>
          <w:numId w:val="45"/>
        </w:numPr>
        <w:spacing w:line="276" w:lineRule="auto"/>
        <w:ind w:left="1267"/>
        <w:jc w:val="both"/>
        <w:rPr>
          <w:bCs/>
        </w:rPr>
      </w:pPr>
      <w:r w:rsidRPr="0024038D">
        <w:rPr>
          <w:rFonts w:cstheme="minorHAnsi"/>
          <w:b/>
          <w:bCs/>
          <w:szCs w:val="22"/>
        </w:rPr>
        <w:t>Property Tax Exemption for Surviving Spouses of Veterans</w:t>
      </w:r>
      <w:r w:rsidR="00DB200A" w:rsidRPr="005D0ED3">
        <w:rPr>
          <w:rFonts w:cstheme="minorHAnsi"/>
          <w:b/>
          <w:bCs/>
          <w:szCs w:val="22"/>
        </w:rPr>
        <w:t xml:space="preserve"> </w:t>
      </w:r>
      <w:r w:rsidR="00DB200A" w:rsidRPr="005D0ED3">
        <w:rPr>
          <w:rFonts w:cstheme="minorHAnsi"/>
          <w:szCs w:val="22"/>
        </w:rPr>
        <w:t xml:space="preserve">- </w:t>
      </w:r>
      <w:r w:rsidRPr="005D0ED3">
        <w:rPr>
          <w:bCs/>
        </w:rPr>
        <w:t>HB 217 (</w:t>
      </w:r>
      <w:r w:rsidR="00167CF5">
        <w:rPr>
          <w:bCs/>
        </w:rPr>
        <w:t>Hodges</w:t>
      </w:r>
      <w:r w:rsidRPr="005D0ED3">
        <w:rPr>
          <w:bCs/>
        </w:rPr>
        <w:t>) and SB 290 (Wright)</w:t>
      </w:r>
      <w:r w:rsidR="00C83DB5">
        <w:rPr>
          <w:bCs/>
        </w:rPr>
        <w:t xml:space="preserve"> </w:t>
      </w:r>
      <w:r w:rsidR="0026135D">
        <w:rPr>
          <w:bCs/>
        </w:rPr>
        <w:t>w</w:t>
      </w:r>
      <w:r w:rsidR="00C83DB5">
        <w:rPr>
          <w:bCs/>
        </w:rPr>
        <w:t>ould have authorized surviving spouses of veterans to qualify for a property tax exemption even if the veteran passed away before receiving a disability determination from the U.S. Government or the Department of Veterans Affairs. In such cases, the surviving spouse may submit the posthumously issued disability letter to the property appraiser as evidence of eligibility for the exemption.</w:t>
      </w:r>
    </w:p>
    <w:p w14:paraId="72DE6065" w14:textId="062F498C" w:rsidR="00BE2BF8" w:rsidRPr="00902A0B" w:rsidRDefault="00BE2BF8" w:rsidP="00860085">
      <w:pPr>
        <w:pStyle w:val="ListParagraph"/>
        <w:numPr>
          <w:ilvl w:val="0"/>
          <w:numId w:val="6"/>
        </w:numPr>
        <w:spacing w:line="276" w:lineRule="auto"/>
        <w:ind w:left="1267"/>
        <w:jc w:val="both"/>
        <w:rPr>
          <w:rFonts w:cstheme="minorHAnsi"/>
          <w:b/>
          <w:bCs/>
          <w:szCs w:val="22"/>
        </w:rPr>
      </w:pPr>
      <w:r w:rsidRPr="00902A0B">
        <w:rPr>
          <w:rFonts w:cstheme="minorHAnsi"/>
          <w:b/>
          <w:bCs/>
          <w:szCs w:val="22"/>
        </w:rPr>
        <w:lastRenderedPageBreak/>
        <w:t>Real Property and Land Use and Development</w:t>
      </w:r>
      <w:r>
        <w:rPr>
          <w:rFonts w:cstheme="minorHAnsi"/>
          <w:b/>
          <w:bCs/>
          <w:szCs w:val="22"/>
        </w:rPr>
        <w:t xml:space="preserve"> - </w:t>
      </w:r>
      <w:r w:rsidRPr="00902A0B">
        <w:rPr>
          <w:bCs/>
        </w:rPr>
        <w:t>HB 943 (Various committees and co-introducers)</w:t>
      </w:r>
      <w:r w:rsidR="008B3D03">
        <w:rPr>
          <w:bCs/>
        </w:rPr>
        <w:t xml:space="preserve"> would have removed some barriers to housing development such as approval processes and land use policies. </w:t>
      </w:r>
    </w:p>
    <w:p w14:paraId="2A1DBE3D" w14:textId="495CB913" w:rsidR="00B13D0B" w:rsidRPr="00C83DB5" w:rsidRDefault="00B13D0B" w:rsidP="0026135D">
      <w:pPr>
        <w:pStyle w:val="ListParagraph"/>
        <w:numPr>
          <w:ilvl w:val="0"/>
          <w:numId w:val="45"/>
        </w:numPr>
        <w:spacing w:line="276" w:lineRule="auto"/>
        <w:ind w:left="1267"/>
        <w:jc w:val="both"/>
        <w:rPr>
          <w:bCs/>
        </w:rPr>
      </w:pPr>
      <w:r>
        <w:rPr>
          <w:rFonts w:cstheme="minorHAnsi"/>
          <w:b/>
          <w:bCs/>
          <w:szCs w:val="22"/>
        </w:rPr>
        <w:t>Revenue Administration</w:t>
      </w:r>
      <w:r w:rsidRPr="00281D0B">
        <w:rPr>
          <w:bCs/>
        </w:rPr>
        <w:t xml:space="preserve"> –</w:t>
      </w:r>
      <w:r>
        <w:rPr>
          <w:rFonts w:cstheme="minorHAnsi"/>
          <w:b/>
          <w:bCs/>
          <w:szCs w:val="22"/>
        </w:rPr>
        <w:t xml:space="preserve"> </w:t>
      </w:r>
      <w:r w:rsidRPr="00281D0B">
        <w:rPr>
          <w:bCs/>
        </w:rPr>
        <w:t>SB 192 (Gruters)</w:t>
      </w:r>
      <w:r w:rsidR="00574E76">
        <w:rPr>
          <w:bCs/>
        </w:rPr>
        <w:t xml:space="preserve"> and HB 1303 (Mooney, Jr.)</w:t>
      </w:r>
      <w:r w:rsidR="00C83DB5">
        <w:rPr>
          <w:bCs/>
        </w:rPr>
        <w:t xml:space="preserve"> Amends the term tax assessor with property appraiser in multiple statute sections.  Updates definitions for ad valorem and assessed value of property introducing new clarifies terminology in chapter 192.  Amends the powers of county legislative bodies related to tax levies and municipal assessments including how these are administered in water and sewer districts.  Prohibits non ad valorem assessments on agricultural land unless the revenue was pledged for debt service on bonds outstanding as of July 1,2025.   Specifies that non</w:t>
      </w:r>
      <w:r w:rsidR="00C83DB5">
        <w:rPr>
          <w:bCs/>
        </w:rPr>
        <w:noBreakHyphen/>
        <w:t xml:space="preserve">ad valorem assessments may become delinquent and bear penalties in the same way as county taxes.  </w:t>
      </w:r>
    </w:p>
    <w:p w14:paraId="2026FF96" w14:textId="0E61D90B" w:rsidR="00FB37CA" w:rsidRPr="00860085" w:rsidRDefault="00FB37CA" w:rsidP="00860085">
      <w:pPr>
        <w:pStyle w:val="ListParagraph"/>
        <w:numPr>
          <w:ilvl w:val="0"/>
          <w:numId w:val="6"/>
        </w:numPr>
        <w:spacing w:line="276" w:lineRule="auto"/>
        <w:ind w:left="1267"/>
        <w:jc w:val="both"/>
        <w:rPr>
          <w:bCs/>
        </w:rPr>
      </w:pPr>
      <w:r w:rsidRPr="00281D0B">
        <w:rPr>
          <w:rFonts w:cstheme="minorHAnsi"/>
          <w:b/>
          <w:bCs/>
          <w:szCs w:val="22"/>
        </w:rPr>
        <w:t>Study on the Elimination of Property Taxes</w:t>
      </w:r>
      <w:r>
        <w:rPr>
          <w:rFonts w:cstheme="minorHAnsi"/>
          <w:b/>
          <w:bCs/>
          <w:szCs w:val="22"/>
        </w:rPr>
        <w:t xml:space="preserve"> </w:t>
      </w:r>
      <w:r w:rsidRPr="00281D0B">
        <w:rPr>
          <w:bCs/>
        </w:rPr>
        <w:t>– SB 852 (Martin and Pizzo)</w:t>
      </w:r>
      <w:r w:rsidR="00C83DB5">
        <w:rPr>
          <w:bCs/>
        </w:rPr>
        <w:t xml:space="preserve"> would have required the Office of Economic and Demographic Research to study the effects of eliminating and replacing property taxes in Florida. The study would evaluate impacts on public services (education, infrastructure, public safety), the housing market, the appeal of switching to a consumption-based tax system, and implications for economic stability, consumer behavior, and long-term growth.</w:t>
      </w:r>
    </w:p>
    <w:p w14:paraId="75E6948E" w14:textId="6DA5E871" w:rsidR="0024038D" w:rsidRPr="00C83DB5" w:rsidRDefault="002E7CFE" w:rsidP="0026135D">
      <w:pPr>
        <w:pStyle w:val="ListParagraph"/>
        <w:numPr>
          <w:ilvl w:val="0"/>
          <w:numId w:val="45"/>
        </w:numPr>
        <w:spacing w:line="276" w:lineRule="auto"/>
        <w:ind w:left="1267"/>
        <w:jc w:val="both"/>
        <w:rPr>
          <w:bCs/>
        </w:rPr>
      </w:pPr>
      <w:r w:rsidRPr="002E7CFE">
        <w:rPr>
          <w:rFonts w:cstheme="minorHAnsi"/>
          <w:b/>
          <w:bCs/>
          <w:szCs w:val="22"/>
        </w:rPr>
        <w:t>Tax Exemption for Disabled Ex-service</w:t>
      </w:r>
      <w:r w:rsidR="00C20CC9">
        <w:rPr>
          <w:rFonts w:cstheme="minorHAnsi"/>
          <w:b/>
          <w:bCs/>
          <w:szCs w:val="22"/>
        </w:rPr>
        <w:t xml:space="preserve"> </w:t>
      </w:r>
      <w:r w:rsidRPr="002E7CFE">
        <w:rPr>
          <w:rFonts w:cstheme="minorHAnsi"/>
          <w:b/>
          <w:bCs/>
          <w:szCs w:val="22"/>
        </w:rPr>
        <w:t xml:space="preserve">members </w:t>
      </w:r>
      <w:r w:rsidR="0024038D" w:rsidRPr="002E7CFE">
        <w:rPr>
          <w:rFonts w:cstheme="minorHAnsi"/>
          <w:szCs w:val="22"/>
        </w:rPr>
        <w:t xml:space="preserve">- </w:t>
      </w:r>
      <w:r w:rsidRPr="002E7CFE">
        <w:rPr>
          <w:bCs/>
        </w:rPr>
        <w:t>HB 39 (Daley) and CS/SB 218 (Arrington)</w:t>
      </w:r>
      <w:r w:rsidR="00C83DB5">
        <w:rPr>
          <w:bCs/>
        </w:rPr>
        <w:t xml:space="preserve"> </w:t>
      </w:r>
      <w:r w:rsidR="00841A9E">
        <w:rPr>
          <w:bCs/>
        </w:rPr>
        <w:t>would</w:t>
      </w:r>
      <w:r w:rsidR="00C83DB5">
        <w:rPr>
          <w:bCs/>
        </w:rPr>
        <w:t xml:space="preserve"> have increased value of tax exemption for certain disabled ex-</w:t>
      </w:r>
      <w:r w:rsidR="00841A9E">
        <w:rPr>
          <w:bCs/>
        </w:rPr>
        <w:t>service members</w:t>
      </w:r>
      <w:r w:rsidR="00C83DB5">
        <w:rPr>
          <w:bCs/>
        </w:rPr>
        <w:t>.</w:t>
      </w:r>
    </w:p>
    <w:p w14:paraId="29DE1036" w14:textId="583CD416" w:rsidR="0024038D" w:rsidRPr="00C83DB5" w:rsidRDefault="002E7CFE" w:rsidP="0026135D">
      <w:pPr>
        <w:pStyle w:val="ListParagraph"/>
        <w:numPr>
          <w:ilvl w:val="0"/>
          <w:numId w:val="45"/>
        </w:numPr>
        <w:spacing w:line="276" w:lineRule="auto"/>
        <w:ind w:left="1267"/>
        <w:jc w:val="both"/>
        <w:rPr>
          <w:bCs/>
        </w:rPr>
      </w:pPr>
      <w:r w:rsidRPr="002E7CFE">
        <w:rPr>
          <w:rFonts w:cstheme="minorHAnsi"/>
          <w:b/>
          <w:bCs/>
          <w:szCs w:val="22"/>
        </w:rPr>
        <w:t>Tax Exemptions for Surviving Spouses of Quadriplegics</w:t>
      </w:r>
      <w:r w:rsidR="0024038D" w:rsidRPr="002E7CFE">
        <w:rPr>
          <w:rFonts w:cstheme="minorHAnsi"/>
          <w:b/>
          <w:bCs/>
          <w:szCs w:val="22"/>
        </w:rPr>
        <w:t xml:space="preserve"> </w:t>
      </w:r>
      <w:r w:rsidR="0024038D" w:rsidRPr="002E7CFE">
        <w:rPr>
          <w:rFonts w:cstheme="minorHAnsi"/>
          <w:szCs w:val="22"/>
        </w:rPr>
        <w:t xml:space="preserve">- </w:t>
      </w:r>
      <w:r w:rsidRPr="002E7CFE">
        <w:rPr>
          <w:bCs/>
        </w:rPr>
        <w:t>HJR 163 (Tant)</w:t>
      </w:r>
      <w:r>
        <w:rPr>
          <w:bCs/>
        </w:rPr>
        <w:t xml:space="preserve"> and</w:t>
      </w:r>
      <w:r w:rsidRPr="002E7CFE">
        <w:rPr>
          <w:bCs/>
        </w:rPr>
        <w:t xml:space="preserve"> SJR 748 (Simon)</w:t>
      </w:r>
      <w:r>
        <w:rPr>
          <w:bCs/>
        </w:rPr>
        <w:t>, and implementing bills</w:t>
      </w:r>
      <w:r w:rsidRPr="002E7CFE">
        <w:rPr>
          <w:bCs/>
        </w:rPr>
        <w:t xml:space="preserve"> HB 165 (Tant) and CS/SB 750 (Simon) </w:t>
      </w:r>
      <w:r w:rsidR="00C83DB5">
        <w:rPr>
          <w:bCs/>
        </w:rPr>
        <w:t>Allowed the surviving spouse of a deceased quadriplegic to retain the associated property tax exemption, as long as they continue to reside in the same homestead property. Additionally, it permits the transfer of the tax exemption to a new homestead property, unless the surviving spouse remarries, sells, or otherwise disposes of the original homestead.</w:t>
      </w:r>
    </w:p>
    <w:p w14:paraId="3E8AD498" w14:textId="7C706B72" w:rsidR="00DB200A" w:rsidRPr="0026135D" w:rsidRDefault="002E7CFE" w:rsidP="0026135D">
      <w:pPr>
        <w:pStyle w:val="ListParagraph"/>
        <w:numPr>
          <w:ilvl w:val="0"/>
          <w:numId w:val="45"/>
        </w:numPr>
        <w:spacing w:line="276" w:lineRule="auto"/>
        <w:ind w:left="1267"/>
        <w:jc w:val="both"/>
        <w:rPr>
          <w:bCs/>
        </w:rPr>
      </w:pPr>
      <w:r w:rsidRPr="002E7CFE">
        <w:rPr>
          <w:rFonts w:cstheme="minorHAnsi"/>
          <w:b/>
          <w:bCs/>
          <w:szCs w:val="22"/>
        </w:rPr>
        <w:t xml:space="preserve">Taxes on the Rental of Real Property </w:t>
      </w:r>
      <w:r w:rsidRPr="002E7CFE">
        <w:rPr>
          <w:bCs/>
        </w:rPr>
        <w:t>- HB 817 (Partington)</w:t>
      </w:r>
      <w:r w:rsidR="0026135D">
        <w:rPr>
          <w:bCs/>
        </w:rPr>
        <w:t xml:space="preserve"> would have repealed tax on rental or license fee for use of real property.</w:t>
      </w:r>
    </w:p>
    <w:p w14:paraId="7DFB8B6A" w14:textId="1C453B55" w:rsidR="00BF1429" w:rsidRDefault="00BF1429" w:rsidP="002E7CFE">
      <w:pPr>
        <w:pStyle w:val="ListParagraph"/>
        <w:numPr>
          <w:ilvl w:val="0"/>
          <w:numId w:val="6"/>
        </w:numPr>
        <w:spacing w:line="276" w:lineRule="auto"/>
        <w:ind w:left="1267"/>
        <w:jc w:val="both"/>
        <w:rPr>
          <w:bCs/>
        </w:rPr>
      </w:pPr>
      <w:r>
        <w:rPr>
          <w:rFonts w:cstheme="minorHAnsi"/>
          <w:b/>
          <w:bCs/>
          <w:szCs w:val="22"/>
        </w:rPr>
        <w:t>Working Floridian Tax</w:t>
      </w:r>
      <w:r>
        <w:rPr>
          <w:bCs/>
        </w:rPr>
        <w:t xml:space="preserve"> </w:t>
      </w:r>
      <w:r w:rsidRPr="00350F10">
        <w:rPr>
          <w:rFonts w:cstheme="minorHAnsi"/>
          <w:b/>
          <w:bCs/>
          <w:szCs w:val="22"/>
        </w:rPr>
        <w:t>Rebate</w:t>
      </w:r>
      <w:r>
        <w:rPr>
          <w:rFonts w:cstheme="minorHAnsi"/>
          <w:b/>
          <w:bCs/>
          <w:szCs w:val="22"/>
        </w:rPr>
        <w:t>s</w:t>
      </w:r>
      <w:r w:rsidRPr="00350F10">
        <w:rPr>
          <w:rFonts w:cstheme="minorHAnsi"/>
          <w:b/>
          <w:bCs/>
          <w:szCs w:val="22"/>
        </w:rPr>
        <w:t xml:space="preserve"> </w:t>
      </w:r>
      <w:r>
        <w:rPr>
          <w:bCs/>
        </w:rPr>
        <w:t>– HB 1331 (Aristide and Joseph</w:t>
      </w:r>
      <w:r w:rsidR="00F15D1F">
        <w:rPr>
          <w:bCs/>
        </w:rPr>
        <w:t>) and</w:t>
      </w:r>
      <w:r>
        <w:rPr>
          <w:bCs/>
        </w:rPr>
        <w:t xml:space="preserve"> SB 1158 (Jones)</w:t>
      </w:r>
      <w:r w:rsidR="008B3D03">
        <w:rPr>
          <w:bCs/>
        </w:rPr>
        <w:t xml:space="preserve"> would have created a program for rebate payments</w:t>
      </w:r>
      <w:r w:rsidR="008B187A">
        <w:rPr>
          <w:bCs/>
        </w:rPr>
        <w:t xml:space="preserve"> based on certain criteria including low to moderate income.</w:t>
      </w:r>
    </w:p>
    <w:p w14:paraId="733E70F0" w14:textId="77777777" w:rsidR="00C75E84" w:rsidRPr="005F1040" w:rsidRDefault="00C75E84" w:rsidP="00064429">
      <w:pPr>
        <w:pStyle w:val="H2"/>
        <w:jc w:val="both"/>
      </w:pPr>
      <w:r w:rsidRPr="005F1040">
        <w:t>Water Management Districts</w:t>
      </w:r>
    </w:p>
    <w:p w14:paraId="593C4A97" w14:textId="42EFDC08" w:rsidR="00C75E84" w:rsidRPr="00064429" w:rsidRDefault="00C75E84" w:rsidP="00064429">
      <w:pPr>
        <w:pStyle w:val="H2"/>
        <w:keepNext w:val="0"/>
        <w:keepLines w:val="0"/>
        <w:widowControl w:val="0"/>
        <w:numPr>
          <w:ilvl w:val="0"/>
          <w:numId w:val="0"/>
        </w:numPr>
        <w:spacing w:after="120"/>
        <w:ind w:left="547"/>
        <w:jc w:val="both"/>
        <w:rPr>
          <w:rFonts w:asciiTheme="minorHAnsi" w:eastAsia="Times New Roman" w:hAnsiTheme="minorHAnsi" w:cs="Times New Roman"/>
          <w:b w:val="0"/>
          <w:color w:val="auto"/>
          <w:sz w:val="22"/>
        </w:rPr>
      </w:pPr>
      <w:r w:rsidRPr="00064429">
        <w:rPr>
          <w:rFonts w:asciiTheme="minorHAnsi" w:eastAsia="Times New Roman" w:hAnsiTheme="minorHAnsi" w:cs="Times New Roman"/>
          <w:b w:val="0"/>
          <w:color w:val="auto"/>
          <w:sz w:val="22"/>
        </w:rPr>
        <w:t xml:space="preserve">HB 1169 and SB 7002 (Various committees) would have significantly changed the water management district legal environment, including ethics changes, quorum clarification, additional comprehensive plan requirements, additional ad valorem tax requirements, prohibition of using State funds to match other State-funded projects, </w:t>
      </w:r>
      <w:r w:rsidR="00C9382A">
        <w:rPr>
          <w:rFonts w:asciiTheme="minorHAnsi" w:eastAsia="Times New Roman" w:hAnsiTheme="minorHAnsi" w:cs="Times New Roman"/>
          <w:b w:val="0"/>
          <w:color w:val="auto"/>
          <w:sz w:val="22"/>
        </w:rPr>
        <w:t xml:space="preserve">and </w:t>
      </w:r>
      <w:r w:rsidRPr="00064429">
        <w:rPr>
          <w:rFonts w:asciiTheme="minorHAnsi" w:eastAsia="Times New Roman" w:hAnsiTheme="minorHAnsi" w:cs="Times New Roman"/>
          <w:b w:val="0"/>
          <w:color w:val="auto"/>
          <w:sz w:val="22"/>
        </w:rPr>
        <w:t>capital improvement plan requirements.  In addition, the bills would have allow</w:t>
      </w:r>
      <w:r w:rsidR="00574E76">
        <w:rPr>
          <w:rFonts w:asciiTheme="minorHAnsi" w:eastAsia="Times New Roman" w:hAnsiTheme="minorHAnsi" w:cs="Times New Roman"/>
          <w:b w:val="0"/>
          <w:color w:val="auto"/>
          <w:sz w:val="22"/>
        </w:rPr>
        <w:t>ed</w:t>
      </w:r>
      <w:r w:rsidRPr="00064429">
        <w:rPr>
          <w:rFonts w:asciiTheme="minorHAnsi" w:eastAsia="Times New Roman" w:hAnsiTheme="minorHAnsi" w:cs="Times New Roman"/>
          <w:b w:val="0"/>
          <w:color w:val="auto"/>
          <w:sz w:val="22"/>
        </w:rPr>
        <w:t xml:space="preserve"> the Legislative Budget Commission to reject certain types of budgeted items.</w:t>
      </w:r>
    </w:p>
    <w:sectPr w:rsidR="00C75E84" w:rsidRPr="00064429" w:rsidSect="00AF6CE8">
      <w:headerReference w:type="defaul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732DD" w14:textId="77777777" w:rsidR="00E00055" w:rsidRDefault="00E00055" w:rsidP="00B44296">
      <w:r>
        <w:separator/>
      </w:r>
    </w:p>
  </w:endnote>
  <w:endnote w:type="continuationSeparator" w:id="0">
    <w:p w14:paraId="4172EAD3" w14:textId="77777777" w:rsidR="00E00055" w:rsidRDefault="00E00055" w:rsidP="00B4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686347"/>
      <w:docPartObj>
        <w:docPartGallery w:val="Page Numbers (Bottom of Page)"/>
        <w:docPartUnique/>
      </w:docPartObj>
    </w:sdtPr>
    <w:sdtEndPr>
      <w:rPr>
        <w:noProof/>
      </w:rPr>
    </w:sdtEndPr>
    <w:sdtContent>
      <w:p w14:paraId="16BD4DEE" w14:textId="1B758C05" w:rsidR="00D43993" w:rsidRDefault="00D43993">
        <w:pPr>
          <w:pStyle w:val="Footer"/>
          <w:jc w:val="center"/>
        </w:pPr>
        <w:r>
          <w:fldChar w:fldCharType="begin"/>
        </w:r>
        <w:r>
          <w:instrText xml:space="preserve"> PAGE   \* MERGEFORMAT </w:instrText>
        </w:r>
        <w:r>
          <w:fldChar w:fldCharType="separate"/>
        </w:r>
        <w:r w:rsidR="00885686">
          <w:rPr>
            <w:noProof/>
          </w:rPr>
          <w:t>16</w:t>
        </w:r>
        <w:r>
          <w:rPr>
            <w:noProof/>
          </w:rPr>
          <w:fldChar w:fldCharType="end"/>
        </w:r>
      </w:p>
    </w:sdtContent>
  </w:sdt>
  <w:p w14:paraId="3B0BBE63" w14:textId="77777777" w:rsidR="00D43993" w:rsidRDefault="00D43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97B32" w14:textId="77777777" w:rsidR="00E00055" w:rsidRDefault="00E00055" w:rsidP="00B44296">
      <w:r>
        <w:separator/>
      </w:r>
    </w:p>
  </w:footnote>
  <w:footnote w:type="continuationSeparator" w:id="0">
    <w:p w14:paraId="3D35E66E" w14:textId="77777777" w:rsidR="00E00055" w:rsidRDefault="00E00055" w:rsidP="00B44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5EAF8" w14:textId="6D3FC3D1" w:rsidR="00D43993" w:rsidRPr="009F117E" w:rsidRDefault="00D43993" w:rsidP="009F117E">
    <w:pPr>
      <w:pStyle w:val="Header"/>
      <w:jc w:val="right"/>
      <w:rPr>
        <w:rFonts w:ascii="Calibri" w:hAnsi="Calibri" w:cs="Calibri"/>
        <w:i/>
        <w:iCs/>
        <w:sz w:val="20"/>
        <w:szCs w:val="20"/>
      </w:rPr>
    </w:pPr>
    <w:r w:rsidRPr="009F117E">
      <w:rPr>
        <w:rFonts w:ascii="Calibri" w:hAnsi="Calibri" w:cs="Calibri"/>
        <w:i/>
        <w:iCs/>
        <w:sz w:val="20"/>
        <w:szCs w:val="20"/>
      </w:rPr>
      <w:t>202</w:t>
    </w:r>
    <w:r>
      <w:rPr>
        <w:rFonts w:ascii="Calibri" w:hAnsi="Calibri" w:cs="Calibri"/>
        <w:i/>
        <w:iCs/>
        <w:sz w:val="20"/>
        <w:szCs w:val="20"/>
      </w:rPr>
      <w:t>5</w:t>
    </w:r>
    <w:r w:rsidRPr="009F117E">
      <w:rPr>
        <w:rFonts w:ascii="Calibri" w:hAnsi="Calibri" w:cs="Calibri"/>
        <w:i/>
        <w:iCs/>
        <w:sz w:val="20"/>
        <w:szCs w:val="20"/>
      </w:rPr>
      <w:t xml:space="preserve"> Legislative Summary - Local Government Finance</w:t>
    </w:r>
  </w:p>
  <w:p w14:paraId="15F3289A" w14:textId="25107FC5" w:rsidR="00D43993" w:rsidRPr="009F117E" w:rsidRDefault="00D43993" w:rsidP="009F117E">
    <w:pPr>
      <w:pStyle w:val="Header"/>
      <w:jc w:val="right"/>
      <w:rPr>
        <w:rFonts w:ascii="Calibri" w:hAnsi="Calibri" w:cs="Calibri"/>
        <w:i/>
        <w:iCs/>
        <w:sz w:val="20"/>
        <w:szCs w:val="20"/>
      </w:rPr>
    </w:pPr>
    <w:r w:rsidRPr="009F117E">
      <w:rPr>
        <w:rFonts w:ascii="Calibri" w:hAnsi="Calibri" w:cs="Calibri"/>
        <w:i/>
        <w:iCs/>
        <w:sz w:val="20"/>
        <w:szCs w:val="20"/>
      </w:rPr>
      <w:t>Florida Government Finance Officers Association (FGFOA)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3722"/>
    <w:multiLevelType w:val="multilevel"/>
    <w:tmpl w:val="B86E0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D9624A"/>
    <w:multiLevelType w:val="hybridMultilevel"/>
    <w:tmpl w:val="D396CA94"/>
    <w:lvl w:ilvl="0" w:tplc="3C96B59A">
      <w:start w:val="1"/>
      <w:numFmt w:val="lowerRoman"/>
      <w:pStyle w:val="SummaryHeader2"/>
      <w:lvlText w:val="%1."/>
      <w:lvlJc w:val="right"/>
      <w:pPr>
        <w:ind w:left="720" w:hanging="360"/>
      </w:pPr>
    </w:lvl>
    <w:lvl w:ilvl="1" w:tplc="43184D44">
      <w:start w:val="1"/>
      <w:numFmt w:val="lowerLetter"/>
      <w:lvlText w:val="%2."/>
      <w:lvlJc w:val="left"/>
      <w:pPr>
        <w:ind w:left="1440" w:hanging="360"/>
      </w:pPr>
    </w:lvl>
    <w:lvl w:ilvl="2" w:tplc="9DF2DC5A">
      <w:start w:val="1"/>
      <w:numFmt w:val="lowerRoman"/>
      <w:lvlText w:val="%3."/>
      <w:lvlJc w:val="right"/>
      <w:pPr>
        <w:ind w:left="2160" w:hanging="180"/>
      </w:pPr>
    </w:lvl>
    <w:lvl w:ilvl="3" w:tplc="F7E4707A">
      <w:start w:val="1"/>
      <w:numFmt w:val="decimal"/>
      <w:lvlText w:val="%4."/>
      <w:lvlJc w:val="left"/>
      <w:pPr>
        <w:ind w:left="2880" w:hanging="360"/>
      </w:pPr>
    </w:lvl>
    <w:lvl w:ilvl="4" w:tplc="94DC1F16">
      <w:start w:val="1"/>
      <w:numFmt w:val="lowerLetter"/>
      <w:lvlText w:val="%5."/>
      <w:lvlJc w:val="left"/>
      <w:pPr>
        <w:ind w:left="3600" w:hanging="360"/>
      </w:pPr>
    </w:lvl>
    <w:lvl w:ilvl="5" w:tplc="0630CDBA">
      <w:start w:val="1"/>
      <w:numFmt w:val="lowerRoman"/>
      <w:lvlText w:val="%6."/>
      <w:lvlJc w:val="right"/>
      <w:pPr>
        <w:ind w:left="4320" w:hanging="180"/>
      </w:pPr>
    </w:lvl>
    <w:lvl w:ilvl="6" w:tplc="09DEDB3A">
      <w:start w:val="1"/>
      <w:numFmt w:val="decimal"/>
      <w:lvlText w:val="%7."/>
      <w:lvlJc w:val="left"/>
      <w:pPr>
        <w:ind w:left="5040" w:hanging="360"/>
      </w:pPr>
    </w:lvl>
    <w:lvl w:ilvl="7" w:tplc="B87CF35A">
      <w:start w:val="1"/>
      <w:numFmt w:val="lowerLetter"/>
      <w:lvlText w:val="%8."/>
      <w:lvlJc w:val="left"/>
      <w:pPr>
        <w:ind w:left="5760" w:hanging="360"/>
      </w:pPr>
    </w:lvl>
    <w:lvl w:ilvl="8" w:tplc="67E8B74E">
      <w:start w:val="1"/>
      <w:numFmt w:val="lowerRoman"/>
      <w:lvlText w:val="%9."/>
      <w:lvlJc w:val="right"/>
      <w:pPr>
        <w:ind w:left="6480" w:hanging="180"/>
      </w:pPr>
    </w:lvl>
  </w:abstractNum>
  <w:abstractNum w:abstractNumId="2" w15:restartNumberingAfterBreak="0">
    <w:nsid w:val="297C119D"/>
    <w:multiLevelType w:val="hybridMultilevel"/>
    <w:tmpl w:val="473C4B7A"/>
    <w:lvl w:ilvl="0" w:tplc="DBE80D68">
      <w:start w:val="1"/>
      <w:numFmt w:val="upperRoman"/>
      <w:pStyle w:val="SummaryHeader1"/>
      <w:lvlText w:val="%1."/>
      <w:lvlJc w:val="left"/>
      <w:pPr>
        <w:ind w:left="720" w:hanging="360"/>
      </w:pPr>
    </w:lvl>
    <w:lvl w:ilvl="1" w:tplc="49F006BE">
      <w:start w:val="1"/>
      <w:numFmt w:val="lowerLetter"/>
      <w:lvlText w:val="%2."/>
      <w:lvlJc w:val="left"/>
      <w:pPr>
        <w:ind w:left="1440" w:hanging="360"/>
      </w:pPr>
    </w:lvl>
    <w:lvl w:ilvl="2" w:tplc="DF623974">
      <w:start w:val="1"/>
      <w:numFmt w:val="lowerRoman"/>
      <w:lvlText w:val="%3."/>
      <w:lvlJc w:val="right"/>
      <w:pPr>
        <w:ind w:left="2160" w:hanging="180"/>
      </w:pPr>
    </w:lvl>
    <w:lvl w:ilvl="3" w:tplc="A24A787A">
      <w:start w:val="1"/>
      <w:numFmt w:val="decimal"/>
      <w:lvlText w:val="%4."/>
      <w:lvlJc w:val="left"/>
      <w:pPr>
        <w:ind w:left="2880" w:hanging="360"/>
      </w:pPr>
    </w:lvl>
    <w:lvl w:ilvl="4" w:tplc="7D92BE4C">
      <w:start w:val="1"/>
      <w:numFmt w:val="lowerLetter"/>
      <w:lvlText w:val="%5."/>
      <w:lvlJc w:val="left"/>
      <w:pPr>
        <w:ind w:left="3600" w:hanging="360"/>
      </w:pPr>
    </w:lvl>
    <w:lvl w:ilvl="5" w:tplc="0AFEFFD2">
      <w:start w:val="1"/>
      <w:numFmt w:val="lowerRoman"/>
      <w:lvlText w:val="%6."/>
      <w:lvlJc w:val="right"/>
      <w:pPr>
        <w:ind w:left="4320" w:hanging="180"/>
      </w:pPr>
    </w:lvl>
    <w:lvl w:ilvl="6" w:tplc="E856CB3A">
      <w:start w:val="1"/>
      <w:numFmt w:val="decimal"/>
      <w:lvlText w:val="%7."/>
      <w:lvlJc w:val="left"/>
      <w:pPr>
        <w:ind w:left="5040" w:hanging="360"/>
      </w:pPr>
    </w:lvl>
    <w:lvl w:ilvl="7" w:tplc="080AC3DC">
      <w:start w:val="1"/>
      <w:numFmt w:val="lowerLetter"/>
      <w:lvlText w:val="%8."/>
      <w:lvlJc w:val="left"/>
      <w:pPr>
        <w:ind w:left="5760" w:hanging="360"/>
      </w:pPr>
    </w:lvl>
    <w:lvl w:ilvl="8" w:tplc="61FC9990">
      <w:start w:val="1"/>
      <w:numFmt w:val="lowerRoman"/>
      <w:lvlText w:val="%9."/>
      <w:lvlJc w:val="right"/>
      <w:pPr>
        <w:ind w:left="6480" w:hanging="180"/>
      </w:pPr>
    </w:lvl>
  </w:abstractNum>
  <w:abstractNum w:abstractNumId="3" w15:restartNumberingAfterBreak="0">
    <w:nsid w:val="2D0D16B7"/>
    <w:multiLevelType w:val="hybridMultilevel"/>
    <w:tmpl w:val="838C122A"/>
    <w:lvl w:ilvl="0" w:tplc="502C2F82">
      <w:start w:val="1"/>
      <w:numFmt w:val="lowerRoman"/>
      <w:pStyle w:val="Failedbillsheader"/>
      <w:lvlText w:val="%1."/>
      <w:lvlJc w:val="right"/>
      <w:pPr>
        <w:ind w:left="720" w:hanging="360"/>
      </w:pPr>
    </w:lvl>
    <w:lvl w:ilvl="1" w:tplc="DE5E3B6C">
      <w:start w:val="1"/>
      <w:numFmt w:val="lowerLetter"/>
      <w:lvlText w:val="%2."/>
      <w:lvlJc w:val="left"/>
      <w:pPr>
        <w:ind w:left="1440" w:hanging="360"/>
      </w:pPr>
    </w:lvl>
    <w:lvl w:ilvl="2" w:tplc="28ACD4A8">
      <w:start w:val="1"/>
      <w:numFmt w:val="lowerRoman"/>
      <w:lvlText w:val="%3."/>
      <w:lvlJc w:val="right"/>
      <w:pPr>
        <w:ind w:left="2160" w:hanging="180"/>
      </w:pPr>
    </w:lvl>
    <w:lvl w:ilvl="3" w:tplc="C29673D2">
      <w:start w:val="1"/>
      <w:numFmt w:val="decimal"/>
      <w:lvlText w:val="%4."/>
      <w:lvlJc w:val="left"/>
      <w:pPr>
        <w:ind w:left="2880" w:hanging="360"/>
      </w:pPr>
    </w:lvl>
    <w:lvl w:ilvl="4" w:tplc="AC3056B0">
      <w:start w:val="1"/>
      <w:numFmt w:val="lowerLetter"/>
      <w:lvlText w:val="%5."/>
      <w:lvlJc w:val="left"/>
      <w:pPr>
        <w:ind w:left="3600" w:hanging="360"/>
      </w:pPr>
    </w:lvl>
    <w:lvl w:ilvl="5" w:tplc="186C30DE">
      <w:start w:val="1"/>
      <w:numFmt w:val="lowerRoman"/>
      <w:lvlText w:val="%6."/>
      <w:lvlJc w:val="right"/>
      <w:pPr>
        <w:ind w:left="4320" w:hanging="180"/>
      </w:pPr>
    </w:lvl>
    <w:lvl w:ilvl="6" w:tplc="00BA3C6C">
      <w:start w:val="1"/>
      <w:numFmt w:val="decimal"/>
      <w:lvlText w:val="%7."/>
      <w:lvlJc w:val="left"/>
      <w:pPr>
        <w:ind w:left="5040" w:hanging="360"/>
      </w:pPr>
    </w:lvl>
    <w:lvl w:ilvl="7" w:tplc="7F4C0D0E">
      <w:start w:val="1"/>
      <w:numFmt w:val="lowerLetter"/>
      <w:lvlText w:val="%8."/>
      <w:lvlJc w:val="left"/>
      <w:pPr>
        <w:ind w:left="5760" w:hanging="360"/>
      </w:pPr>
    </w:lvl>
    <w:lvl w:ilvl="8" w:tplc="2736AAE4">
      <w:start w:val="1"/>
      <w:numFmt w:val="lowerRoman"/>
      <w:lvlText w:val="%9."/>
      <w:lvlJc w:val="right"/>
      <w:pPr>
        <w:ind w:left="6480" w:hanging="180"/>
      </w:pPr>
    </w:lvl>
  </w:abstractNum>
  <w:abstractNum w:abstractNumId="4" w15:restartNumberingAfterBreak="0">
    <w:nsid w:val="3222111A"/>
    <w:multiLevelType w:val="hybridMultilevel"/>
    <w:tmpl w:val="82D83E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EBA26EF"/>
    <w:multiLevelType w:val="hybridMultilevel"/>
    <w:tmpl w:val="870EC1CA"/>
    <w:lvl w:ilvl="0" w:tplc="1EAC1A90">
      <w:start w:val="1"/>
      <w:numFmt w:val="lowerRoman"/>
      <w:pStyle w:val="H2"/>
      <w:lvlText w:val="%1."/>
      <w:lvlJc w:val="righ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D64EF"/>
    <w:multiLevelType w:val="hybridMultilevel"/>
    <w:tmpl w:val="6406A8C8"/>
    <w:lvl w:ilvl="0" w:tplc="796CB78C">
      <w:start w:val="1"/>
      <w:numFmt w:val="upperRoman"/>
      <w:pStyle w:val="H1"/>
      <w:lvlText w:val="%1."/>
      <w:lvlJc w:val="right"/>
      <w:pPr>
        <w:ind w:left="360" w:hanging="360"/>
      </w:pPr>
      <w:rPr>
        <w:rFonts w:hint="default"/>
        <w:smallCap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56F6A"/>
    <w:multiLevelType w:val="multilevel"/>
    <w:tmpl w:val="FE0CB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B77DA8"/>
    <w:multiLevelType w:val="multilevel"/>
    <w:tmpl w:val="CE4A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2D0B08"/>
    <w:multiLevelType w:val="hybridMultilevel"/>
    <w:tmpl w:val="3E324F26"/>
    <w:lvl w:ilvl="0" w:tplc="6D7E0AB0">
      <w:start w:val="1"/>
      <w:numFmt w:val="bullet"/>
      <w:lvlText w:val="-"/>
      <w:lvlJc w:val="left"/>
      <w:pPr>
        <w:ind w:left="1440" w:hanging="360"/>
      </w:pPr>
      <w:rPr>
        <w:rFonts w:ascii="Calibri" w:eastAsiaTheme="minorHAnsi" w:hAnsi="Calibri" w:cs="Calibri"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507017199">
    <w:abstractNumId w:val="3"/>
  </w:num>
  <w:num w:numId="2" w16cid:durableId="131946232">
    <w:abstractNumId w:val="1"/>
  </w:num>
  <w:num w:numId="3" w16cid:durableId="200090360">
    <w:abstractNumId w:val="2"/>
  </w:num>
  <w:num w:numId="4" w16cid:durableId="214465429">
    <w:abstractNumId w:val="6"/>
  </w:num>
  <w:num w:numId="5" w16cid:durableId="640770998">
    <w:abstractNumId w:val="5"/>
  </w:num>
  <w:num w:numId="6" w16cid:durableId="1747532128">
    <w:abstractNumId w:val="9"/>
  </w:num>
  <w:num w:numId="7" w16cid:durableId="1884711982">
    <w:abstractNumId w:val="5"/>
    <w:lvlOverride w:ilvl="0">
      <w:startOverride w:val="1"/>
    </w:lvlOverride>
  </w:num>
  <w:num w:numId="8" w16cid:durableId="21281592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7358860">
    <w:abstractNumId w:val="8"/>
  </w:num>
  <w:num w:numId="10" w16cid:durableId="961228266">
    <w:abstractNumId w:val="5"/>
  </w:num>
  <w:num w:numId="11" w16cid:durableId="854611889">
    <w:abstractNumId w:val="5"/>
  </w:num>
  <w:num w:numId="12" w16cid:durableId="729814842">
    <w:abstractNumId w:val="5"/>
  </w:num>
  <w:num w:numId="13" w16cid:durableId="920288238">
    <w:abstractNumId w:val="7"/>
  </w:num>
  <w:num w:numId="14" w16cid:durableId="564099566">
    <w:abstractNumId w:val="5"/>
    <w:lvlOverride w:ilvl="0">
      <w:startOverride w:val="1"/>
    </w:lvlOverride>
  </w:num>
  <w:num w:numId="15" w16cid:durableId="1415132354">
    <w:abstractNumId w:val="5"/>
  </w:num>
  <w:num w:numId="16" w16cid:durableId="1761095403">
    <w:abstractNumId w:val="5"/>
  </w:num>
  <w:num w:numId="17" w16cid:durableId="712845163">
    <w:abstractNumId w:val="5"/>
  </w:num>
  <w:num w:numId="18" w16cid:durableId="1307054161">
    <w:abstractNumId w:val="5"/>
  </w:num>
  <w:num w:numId="19" w16cid:durableId="792944715">
    <w:abstractNumId w:val="5"/>
  </w:num>
  <w:num w:numId="20" w16cid:durableId="1651865197">
    <w:abstractNumId w:val="5"/>
  </w:num>
  <w:num w:numId="21" w16cid:durableId="106506605">
    <w:abstractNumId w:val="5"/>
  </w:num>
  <w:num w:numId="22" w16cid:durableId="248275847">
    <w:abstractNumId w:val="5"/>
  </w:num>
  <w:num w:numId="23" w16cid:durableId="1484078254">
    <w:abstractNumId w:val="5"/>
  </w:num>
  <w:num w:numId="24" w16cid:durableId="399328998">
    <w:abstractNumId w:val="5"/>
  </w:num>
  <w:num w:numId="25" w16cid:durableId="81538218">
    <w:abstractNumId w:val="5"/>
  </w:num>
  <w:num w:numId="26" w16cid:durableId="266354003">
    <w:abstractNumId w:val="5"/>
  </w:num>
  <w:num w:numId="27" w16cid:durableId="819729869">
    <w:abstractNumId w:val="5"/>
  </w:num>
  <w:num w:numId="28" w16cid:durableId="331494550">
    <w:abstractNumId w:val="5"/>
  </w:num>
  <w:num w:numId="29" w16cid:durableId="1108231236">
    <w:abstractNumId w:val="5"/>
  </w:num>
  <w:num w:numId="30" w16cid:durableId="1371807304">
    <w:abstractNumId w:val="5"/>
  </w:num>
  <w:num w:numId="31" w16cid:durableId="855507066">
    <w:abstractNumId w:val="5"/>
  </w:num>
  <w:num w:numId="32" w16cid:durableId="271207476">
    <w:abstractNumId w:val="5"/>
  </w:num>
  <w:num w:numId="33" w16cid:durableId="1943803136">
    <w:abstractNumId w:val="5"/>
  </w:num>
  <w:num w:numId="34" w16cid:durableId="711880224">
    <w:abstractNumId w:val="5"/>
  </w:num>
  <w:num w:numId="35" w16cid:durableId="595091118">
    <w:abstractNumId w:val="4"/>
  </w:num>
  <w:num w:numId="36" w16cid:durableId="502008560">
    <w:abstractNumId w:val="5"/>
  </w:num>
  <w:num w:numId="37" w16cid:durableId="1326783841">
    <w:abstractNumId w:val="5"/>
  </w:num>
  <w:num w:numId="38" w16cid:durableId="1831751493">
    <w:abstractNumId w:val="5"/>
  </w:num>
  <w:num w:numId="39" w16cid:durableId="827088496">
    <w:abstractNumId w:val="5"/>
  </w:num>
  <w:num w:numId="40" w16cid:durableId="1056320096">
    <w:abstractNumId w:val="5"/>
  </w:num>
  <w:num w:numId="41" w16cid:durableId="1839345862">
    <w:abstractNumId w:val="5"/>
  </w:num>
  <w:num w:numId="42" w16cid:durableId="1529567555">
    <w:abstractNumId w:val="5"/>
  </w:num>
  <w:num w:numId="43" w16cid:durableId="1781949528">
    <w:abstractNumId w:val="5"/>
  </w:num>
  <w:num w:numId="44" w16cid:durableId="1822892161">
    <w:abstractNumId w:val="5"/>
  </w:num>
  <w:num w:numId="45" w16cid:durableId="113274875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96"/>
    <w:rsid w:val="00010812"/>
    <w:rsid w:val="00031C01"/>
    <w:rsid w:val="00056649"/>
    <w:rsid w:val="00064429"/>
    <w:rsid w:val="000645ED"/>
    <w:rsid w:val="0007404A"/>
    <w:rsid w:val="00087172"/>
    <w:rsid w:val="00095F58"/>
    <w:rsid w:val="000E6CB3"/>
    <w:rsid w:val="000F575E"/>
    <w:rsid w:val="000F6A18"/>
    <w:rsid w:val="00111615"/>
    <w:rsid w:val="00123858"/>
    <w:rsid w:val="00137E1C"/>
    <w:rsid w:val="00143B1D"/>
    <w:rsid w:val="00147239"/>
    <w:rsid w:val="001555DE"/>
    <w:rsid w:val="00167CF5"/>
    <w:rsid w:val="00172773"/>
    <w:rsid w:val="00173849"/>
    <w:rsid w:val="0018459C"/>
    <w:rsid w:val="0019052D"/>
    <w:rsid w:val="001916B7"/>
    <w:rsid w:val="00196F24"/>
    <w:rsid w:val="001B3ABA"/>
    <w:rsid w:val="001B59A1"/>
    <w:rsid w:val="001D0699"/>
    <w:rsid w:val="001F0FB7"/>
    <w:rsid w:val="00211DE8"/>
    <w:rsid w:val="00235379"/>
    <w:rsid w:val="0024038D"/>
    <w:rsid w:val="002404D9"/>
    <w:rsid w:val="0024366E"/>
    <w:rsid w:val="0026135D"/>
    <w:rsid w:val="002638C4"/>
    <w:rsid w:val="002738BB"/>
    <w:rsid w:val="00275FFA"/>
    <w:rsid w:val="00280EE4"/>
    <w:rsid w:val="00281D0B"/>
    <w:rsid w:val="0028321C"/>
    <w:rsid w:val="00286100"/>
    <w:rsid w:val="00291C8F"/>
    <w:rsid w:val="00293BF2"/>
    <w:rsid w:val="00296CC5"/>
    <w:rsid w:val="002C06C8"/>
    <w:rsid w:val="002C145D"/>
    <w:rsid w:val="002C3198"/>
    <w:rsid w:val="002E7CFE"/>
    <w:rsid w:val="00302399"/>
    <w:rsid w:val="00303917"/>
    <w:rsid w:val="00313048"/>
    <w:rsid w:val="00320C08"/>
    <w:rsid w:val="0032270F"/>
    <w:rsid w:val="00332540"/>
    <w:rsid w:val="003371D6"/>
    <w:rsid w:val="00343E9C"/>
    <w:rsid w:val="00346C04"/>
    <w:rsid w:val="00350F10"/>
    <w:rsid w:val="0035717F"/>
    <w:rsid w:val="003572E7"/>
    <w:rsid w:val="00361C94"/>
    <w:rsid w:val="00361D9A"/>
    <w:rsid w:val="00376E50"/>
    <w:rsid w:val="00397DFD"/>
    <w:rsid w:val="003C66C9"/>
    <w:rsid w:val="003F3BC8"/>
    <w:rsid w:val="003F7186"/>
    <w:rsid w:val="00401A24"/>
    <w:rsid w:val="004072D5"/>
    <w:rsid w:val="00415892"/>
    <w:rsid w:val="004356B1"/>
    <w:rsid w:val="00452953"/>
    <w:rsid w:val="0046280A"/>
    <w:rsid w:val="0046396D"/>
    <w:rsid w:val="00464F15"/>
    <w:rsid w:val="004A51A5"/>
    <w:rsid w:val="004B1368"/>
    <w:rsid w:val="004C6F63"/>
    <w:rsid w:val="004E65BF"/>
    <w:rsid w:val="004F23C4"/>
    <w:rsid w:val="00521050"/>
    <w:rsid w:val="0052738B"/>
    <w:rsid w:val="00534151"/>
    <w:rsid w:val="00542265"/>
    <w:rsid w:val="00550153"/>
    <w:rsid w:val="0056756A"/>
    <w:rsid w:val="00573170"/>
    <w:rsid w:val="00574E76"/>
    <w:rsid w:val="00586279"/>
    <w:rsid w:val="0059000C"/>
    <w:rsid w:val="005A5838"/>
    <w:rsid w:val="005B333D"/>
    <w:rsid w:val="005D0ED3"/>
    <w:rsid w:val="005F5485"/>
    <w:rsid w:val="00630CD2"/>
    <w:rsid w:val="00633778"/>
    <w:rsid w:val="00647C6A"/>
    <w:rsid w:val="006563EE"/>
    <w:rsid w:val="00695672"/>
    <w:rsid w:val="006A6F16"/>
    <w:rsid w:val="006B24FC"/>
    <w:rsid w:val="006B3E72"/>
    <w:rsid w:val="006B5DE3"/>
    <w:rsid w:val="006D12BF"/>
    <w:rsid w:val="006D57B6"/>
    <w:rsid w:val="006F6232"/>
    <w:rsid w:val="006F7620"/>
    <w:rsid w:val="007162C6"/>
    <w:rsid w:val="00720A69"/>
    <w:rsid w:val="007214BE"/>
    <w:rsid w:val="00721AD3"/>
    <w:rsid w:val="00725BC8"/>
    <w:rsid w:val="007464B9"/>
    <w:rsid w:val="00756F10"/>
    <w:rsid w:val="00766591"/>
    <w:rsid w:val="00776235"/>
    <w:rsid w:val="0077645E"/>
    <w:rsid w:val="0079268B"/>
    <w:rsid w:val="007949FB"/>
    <w:rsid w:val="007B4866"/>
    <w:rsid w:val="007D0756"/>
    <w:rsid w:val="007E21C5"/>
    <w:rsid w:val="007E701F"/>
    <w:rsid w:val="007F0F3A"/>
    <w:rsid w:val="007F6373"/>
    <w:rsid w:val="0080254B"/>
    <w:rsid w:val="008115FE"/>
    <w:rsid w:val="00813CDC"/>
    <w:rsid w:val="00822DCD"/>
    <w:rsid w:val="00841A9E"/>
    <w:rsid w:val="008423B7"/>
    <w:rsid w:val="00852DE3"/>
    <w:rsid w:val="00857D6A"/>
    <w:rsid w:val="00860085"/>
    <w:rsid w:val="008747CA"/>
    <w:rsid w:val="00885686"/>
    <w:rsid w:val="00887AF2"/>
    <w:rsid w:val="008A53C4"/>
    <w:rsid w:val="008B187A"/>
    <w:rsid w:val="008B3D03"/>
    <w:rsid w:val="008D62AC"/>
    <w:rsid w:val="008E665E"/>
    <w:rsid w:val="00902A0B"/>
    <w:rsid w:val="0091285F"/>
    <w:rsid w:val="009154E6"/>
    <w:rsid w:val="0094130C"/>
    <w:rsid w:val="00942B84"/>
    <w:rsid w:val="00983944"/>
    <w:rsid w:val="00987B29"/>
    <w:rsid w:val="00992B07"/>
    <w:rsid w:val="009B7A2F"/>
    <w:rsid w:val="009D721F"/>
    <w:rsid w:val="009E0673"/>
    <w:rsid w:val="009F117E"/>
    <w:rsid w:val="009F1B28"/>
    <w:rsid w:val="009F1D71"/>
    <w:rsid w:val="009F2F2A"/>
    <w:rsid w:val="00A0270E"/>
    <w:rsid w:val="00A05AF5"/>
    <w:rsid w:val="00A1111E"/>
    <w:rsid w:val="00A206F2"/>
    <w:rsid w:val="00A46CD7"/>
    <w:rsid w:val="00A474BD"/>
    <w:rsid w:val="00A64023"/>
    <w:rsid w:val="00A66EF9"/>
    <w:rsid w:val="00A708B4"/>
    <w:rsid w:val="00A864F3"/>
    <w:rsid w:val="00AE54F5"/>
    <w:rsid w:val="00AF2008"/>
    <w:rsid w:val="00AF564B"/>
    <w:rsid w:val="00AF6CE8"/>
    <w:rsid w:val="00B11F6F"/>
    <w:rsid w:val="00B13D0B"/>
    <w:rsid w:val="00B2322B"/>
    <w:rsid w:val="00B2390F"/>
    <w:rsid w:val="00B32936"/>
    <w:rsid w:val="00B43F68"/>
    <w:rsid w:val="00B44296"/>
    <w:rsid w:val="00B53CCF"/>
    <w:rsid w:val="00B61FCC"/>
    <w:rsid w:val="00B64A69"/>
    <w:rsid w:val="00B724B8"/>
    <w:rsid w:val="00B7501A"/>
    <w:rsid w:val="00B91C59"/>
    <w:rsid w:val="00B933E5"/>
    <w:rsid w:val="00B94D91"/>
    <w:rsid w:val="00B97A94"/>
    <w:rsid w:val="00BB32B2"/>
    <w:rsid w:val="00BD2ADF"/>
    <w:rsid w:val="00BD2F3E"/>
    <w:rsid w:val="00BD5374"/>
    <w:rsid w:val="00BE0734"/>
    <w:rsid w:val="00BE2BF8"/>
    <w:rsid w:val="00BF1429"/>
    <w:rsid w:val="00BF6622"/>
    <w:rsid w:val="00C20CC9"/>
    <w:rsid w:val="00C221C1"/>
    <w:rsid w:val="00C24B88"/>
    <w:rsid w:val="00C26913"/>
    <w:rsid w:val="00C47A44"/>
    <w:rsid w:val="00C56E48"/>
    <w:rsid w:val="00C71059"/>
    <w:rsid w:val="00C744B9"/>
    <w:rsid w:val="00C75E84"/>
    <w:rsid w:val="00C83DB5"/>
    <w:rsid w:val="00C85D6B"/>
    <w:rsid w:val="00C9382A"/>
    <w:rsid w:val="00CA0D6C"/>
    <w:rsid w:val="00CB0456"/>
    <w:rsid w:val="00CB5ABC"/>
    <w:rsid w:val="00CC0861"/>
    <w:rsid w:val="00CD7EB3"/>
    <w:rsid w:val="00D0326E"/>
    <w:rsid w:val="00D068F1"/>
    <w:rsid w:val="00D303BC"/>
    <w:rsid w:val="00D33ACB"/>
    <w:rsid w:val="00D41C9E"/>
    <w:rsid w:val="00D43993"/>
    <w:rsid w:val="00D45277"/>
    <w:rsid w:val="00D465AA"/>
    <w:rsid w:val="00D52733"/>
    <w:rsid w:val="00D57423"/>
    <w:rsid w:val="00D8082E"/>
    <w:rsid w:val="00D86960"/>
    <w:rsid w:val="00DB200A"/>
    <w:rsid w:val="00DB34FA"/>
    <w:rsid w:val="00DC4DED"/>
    <w:rsid w:val="00DD7F75"/>
    <w:rsid w:val="00DF7DEC"/>
    <w:rsid w:val="00E00055"/>
    <w:rsid w:val="00E00BF9"/>
    <w:rsid w:val="00E35D09"/>
    <w:rsid w:val="00E4148D"/>
    <w:rsid w:val="00E5525A"/>
    <w:rsid w:val="00E93704"/>
    <w:rsid w:val="00E972DF"/>
    <w:rsid w:val="00EB1D2B"/>
    <w:rsid w:val="00ED01A9"/>
    <w:rsid w:val="00EE2B5A"/>
    <w:rsid w:val="00EF28DA"/>
    <w:rsid w:val="00F15D1F"/>
    <w:rsid w:val="00F20918"/>
    <w:rsid w:val="00F24D34"/>
    <w:rsid w:val="00F405C1"/>
    <w:rsid w:val="00F65D44"/>
    <w:rsid w:val="00F77405"/>
    <w:rsid w:val="00F77617"/>
    <w:rsid w:val="00F919F6"/>
    <w:rsid w:val="00F94D07"/>
    <w:rsid w:val="00FB0330"/>
    <w:rsid w:val="00FB37CA"/>
    <w:rsid w:val="00FC44C9"/>
    <w:rsid w:val="00FF33F8"/>
    <w:rsid w:val="6C6D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1F20F"/>
  <w15:chartTrackingRefBased/>
  <w15:docId w15:val="{CEA28370-5ED4-46E1-9EC2-147E1210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gislative Summary - Normal"/>
    <w:qFormat/>
    <w:rsid w:val="00B44296"/>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B44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4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2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2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2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2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2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2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2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2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42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2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2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2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296"/>
    <w:rPr>
      <w:rFonts w:eastAsiaTheme="majorEastAsia" w:cstheme="majorBidi"/>
      <w:color w:val="272727" w:themeColor="text1" w:themeTint="D8"/>
    </w:rPr>
  </w:style>
  <w:style w:type="paragraph" w:styleId="Title">
    <w:name w:val="Title"/>
    <w:basedOn w:val="Normal"/>
    <w:next w:val="Normal"/>
    <w:link w:val="TitleChar"/>
    <w:uiPriority w:val="10"/>
    <w:qFormat/>
    <w:rsid w:val="00B442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296"/>
    <w:pPr>
      <w:spacing w:before="160"/>
      <w:jc w:val="center"/>
    </w:pPr>
    <w:rPr>
      <w:i/>
      <w:iCs/>
      <w:color w:val="404040" w:themeColor="text1" w:themeTint="BF"/>
    </w:rPr>
  </w:style>
  <w:style w:type="character" w:customStyle="1" w:styleId="QuoteChar">
    <w:name w:val="Quote Char"/>
    <w:basedOn w:val="DefaultParagraphFont"/>
    <w:link w:val="Quote"/>
    <w:uiPriority w:val="29"/>
    <w:rsid w:val="00B44296"/>
    <w:rPr>
      <w:i/>
      <w:iCs/>
      <w:color w:val="404040" w:themeColor="text1" w:themeTint="BF"/>
    </w:rPr>
  </w:style>
  <w:style w:type="paragraph" w:styleId="ListParagraph">
    <w:name w:val="List Paragraph"/>
    <w:basedOn w:val="Normal"/>
    <w:uiPriority w:val="34"/>
    <w:qFormat/>
    <w:rsid w:val="00B44296"/>
    <w:pPr>
      <w:ind w:left="720"/>
      <w:contextualSpacing/>
    </w:pPr>
  </w:style>
  <w:style w:type="character" w:styleId="IntenseEmphasis">
    <w:name w:val="Intense Emphasis"/>
    <w:basedOn w:val="DefaultParagraphFont"/>
    <w:uiPriority w:val="21"/>
    <w:qFormat/>
    <w:rsid w:val="00B44296"/>
    <w:rPr>
      <w:i/>
      <w:iCs/>
      <w:color w:val="0F4761" w:themeColor="accent1" w:themeShade="BF"/>
    </w:rPr>
  </w:style>
  <w:style w:type="paragraph" w:styleId="IntenseQuote">
    <w:name w:val="Intense Quote"/>
    <w:basedOn w:val="Normal"/>
    <w:next w:val="Normal"/>
    <w:link w:val="IntenseQuoteChar"/>
    <w:uiPriority w:val="30"/>
    <w:qFormat/>
    <w:rsid w:val="00B44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296"/>
    <w:rPr>
      <w:i/>
      <w:iCs/>
      <w:color w:val="0F4761" w:themeColor="accent1" w:themeShade="BF"/>
    </w:rPr>
  </w:style>
  <w:style w:type="character" w:styleId="IntenseReference">
    <w:name w:val="Intense Reference"/>
    <w:basedOn w:val="DefaultParagraphFont"/>
    <w:uiPriority w:val="32"/>
    <w:qFormat/>
    <w:rsid w:val="00B44296"/>
    <w:rPr>
      <w:b/>
      <w:bCs/>
      <w:smallCaps/>
      <w:color w:val="0F4761" w:themeColor="accent1" w:themeShade="BF"/>
      <w:spacing w:val="5"/>
    </w:rPr>
  </w:style>
  <w:style w:type="character" w:styleId="Hyperlink">
    <w:name w:val="Hyperlink"/>
    <w:basedOn w:val="DefaultParagraphFont"/>
    <w:uiPriority w:val="99"/>
    <w:unhideWhenUsed/>
    <w:rsid w:val="00B44296"/>
    <w:rPr>
      <w:color w:val="467886" w:themeColor="hyperlink"/>
      <w:u w:val="single"/>
    </w:rPr>
  </w:style>
  <w:style w:type="character" w:customStyle="1" w:styleId="UnresolvedMention1">
    <w:name w:val="Unresolved Mention1"/>
    <w:basedOn w:val="DefaultParagraphFont"/>
    <w:uiPriority w:val="99"/>
    <w:semiHidden/>
    <w:unhideWhenUsed/>
    <w:rsid w:val="00B44296"/>
    <w:rPr>
      <w:color w:val="605E5C"/>
      <w:shd w:val="clear" w:color="auto" w:fill="E1DFDD"/>
    </w:rPr>
  </w:style>
  <w:style w:type="character" w:styleId="CommentReference">
    <w:name w:val="annotation reference"/>
    <w:basedOn w:val="DefaultParagraphFont"/>
    <w:uiPriority w:val="99"/>
    <w:semiHidden/>
    <w:unhideWhenUsed/>
    <w:rsid w:val="00B44296"/>
    <w:rPr>
      <w:sz w:val="16"/>
      <w:szCs w:val="16"/>
    </w:rPr>
  </w:style>
  <w:style w:type="paragraph" w:styleId="CommentText">
    <w:name w:val="annotation text"/>
    <w:basedOn w:val="Normal"/>
    <w:link w:val="CommentTextChar"/>
    <w:uiPriority w:val="99"/>
    <w:unhideWhenUsed/>
    <w:rsid w:val="00B44296"/>
    <w:rPr>
      <w:sz w:val="20"/>
      <w:szCs w:val="20"/>
    </w:rPr>
  </w:style>
  <w:style w:type="character" w:customStyle="1" w:styleId="CommentTextChar">
    <w:name w:val="Comment Text Char"/>
    <w:basedOn w:val="DefaultParagraphFont"/>
    <w:link w:val="CommentText"/>
    <w:uiPriority w:val="99"/>
    <w:rsid w:val="00B44296"/>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4296"/>
    <w:rPr>
      <w:b/>
      <w:bCs/>
    </w:rPr>
  </w:style>
  <w:style w:type="character" w:customStyle="1" w:styleId="CommentSubjectChar">
    <w:name w:val="Comment Subject Char"/>
    <w:basedOn w:val="CommentTextChar"/>
    <w:link w:val="CommentSubject"/>
    <w:uiPriority w:val="99"/>
    <w:semiHidden/>
    <w:rsid w:val="00B44296"/>
    <w:rPr>
      <w:rFonts w:eastAsia="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B44296"/>
    <w:rPr>
      <w:color w:val="96607D" w:themeColor="followedHyperlink"/>
      <w:u w:val="single"/>
    </w:rPr>
  </w:style>
  <w:style w:type="paragraph" w:styleId="Revision">
    <w:name w:val="Revision"/>
    <w:hidden/>
    <w:uiPriority w:val="99"/>
    <w:semiHidden/>
    <w:rsid w:val="00B44296"/>
    <w:pPr>
      <w:spacing w:after="0" w:line="240" w:lineRule="auto"/>
    </w:pPr>
  </w:style>
  <w:style w:type="paragraph" w:customStyle="1" w:styleId="Failedbillsheader">
    <w:name w:val="Failed bills header"/>
    <w:basedOn w:val="Normal"/>
    <w:link w:val="FailedbillsheaderChar"/>
    <w:qFormat/>
    <w:rsid w:val="00B44296"/>
    <w:pPr>
      <w:numPr>
        <w:numId w:val="1"/>
      </w:numPr>
      <w:contextualSpacing/>
      <w:jc w:val="both"/>
    </w:pPr>
    <w:rPr>
      <w:b/>
      <w:bCs/>
    </w:rPr>
  </w:style>
  <w:style w:type="paragraph" w:customStyle="1" w:styleId="SummaryHeader1">
    <w:name w:val="Summary Header 1"/>
    <w:basedOn w:val="Normal"/>
    <w:link w:val="SummaryHeader1Char"/>
    <w:qFormat/>
    <w:rsid w:val="00B44296"/>
    <w:pPr>
      <w:numPr>
        <w:numId w:val="3"/>
      </w:numPr>
      <w:ind w:left="270" w:hanging="270"/>
      <w:contextualSpacing/>
      <w:jc w:val="both"/>
    </w:pPr>
    <w:rPr>
      <w:b/>
      <w:bCs/>
    </w:rPr>
  </w:style>
  <w:style w:type="paragraph" w:customStyle="1" w:styleId="SummaryHeader2">
    <w:name w:val="Summary Header 2"/>
    <w:basedOn w:val="Normal"/>
    <w:link w:val="SummaryHeader2Char"/>
    <w:qFormat/>
    <w:rsid w:val="00B44296"/>
    <w:pPr>
      <w:numPr>
        <w:numId w:val="2"/>
      </w:numPr>
      <w:contextualSpacing/>
      <w:jc w:val="both"/>
    </w:pPr>
    <w:rPr>
      <w:b/>
      <w:bCs/>
    </w:rPr>
  </w:style>
  <w:style w:type="character" w:customStyle="1" w:styleId="SummaryHeader1Char">
    <w:name w:val="Summary Header 1 Char"/>
    <w:basedOn w:val="DefaultParagraphFont"/>
    <w:link w:val="SummaryHeader1"/>
    <w:rsid w:val="00B44296"/>
    <w:rPr>
      <w:rFonts w:eastAsia="Times New Roman" w:cs="Times New Roman"/>
      <w:b/>
      <w:bCs/>
      <w:kern w:val="0"/>
      <w:szCs w:val="24"/>
      <w14:ligatures w14:val="none"/>
    </w:rPr>
  </w:style>
  <w:style w:type="character" w:customStyle="1" w:styleId="SummaryHeader2Char">
    <w:name w:val="Summary Header 2 Char"/>
    <w:basedOn w:val="DefaultParagraphFont"/>
    <w:link w:val="SummaryHeader2"/>
    <w:rsid w:val="00B44296"/>
    <w:rPr>
      <w:rFonts w:eastAsia="Times New Roman" w:cs="Times New Roman"/>
      <w:b/>
      <w:bCs/>
      <w:kern w:val="0"/>
      <w:szCs w:val="24"/>
      <w14:ligatures w14:val="none"/>
    </w:rPr>
  </w:style>
  <w:style w:type="character" w:customStyle="1" w:styleId="FailedbillsheaderChar">
    <w:name w:val="Failed bills header Char"/>
    <w:basedOn w:val="DefaultParagraphFont"/>
    <w:link w:val="Failedbillsheader"/>
    <w:rsid w:val="00B44296"/>
    <w:rPr>
      <w:rFonts w:eastAsia="Times New Roman" w:cs="Times New Roman"/>
      <w:b/>
      <w:bCs/>
      <w:kern w:val="0"/>
      <w:szCs w:val="24"/>
      <w14:ligatures w14:val="none"/>
    </w:rPr>
  </w:style>
  <w:style w:type="paragraph" w:styleId="TOCHeading">
    <w:name w:val="TOC Heading"/>
    <w:basedOn w:val="Heading1"/>
    <w:next w:val="Normal"/>
    <w:uiPriority w:val="39"/>
    <w:unhideWhenUsed/>
    <w:qFormat/>
    <w:rsid w:val="00B44296"/>
    <w:pPr>
      <w:spacing w:before="240" w:after="0"/>
      <w:outlineLvl w:val="9"/>
    </w:pPr>
    <w:rPr>
      <w:sz w:val="32"/>
      <w:szCs w:val="32"/>
    </w:rPr>
  </w:style>
  <w:style w:type="paragraph" w:styleId="TOC2">
    <w:name w:val="toc 2"/>
    <w:basedOn w:val="Normal"/>
    <w:next w:val="Normal"/>
    <w:autoRedefine/>
    <w:uiPriority w:val="39"/>
    <w:unhideWhenUsed/>
    <w:rsid w:val="00D43993"/>
    <w:pPr>
      <w:tabs>
        <w:tab w:val="left" w:pos="960"/>
        <w:tab w:val="right" w:leader="dot" w:pos="9350"/>
      </w:tabs>
      <w:spacing w:after="100" w:line="200" w:lineRule="exact"/>
      <w:ind w:left="220"/>
    </w:pPr>
    <w:rPr>
      <w:noProof/>
      <w:color w:val="000000" w:themeColor="text1"/>
    </w:rPr>
  </w:style>
  <w:style w:type="paragraph" w:styleId="TOC1">
    <w:name w:val="toc 1"/>
    <w:basedOn w:val="Normal"/>
    <w:next w:val="Normal"/>
    <w:autoRedefine/>
    <w:uiPriority w:val="39"/>
    <w:unhideWhenUsed/>
    <w:rsid w:val="001916B7"/>
    <w:pPr>
      <w:tabs>
        <w:tab w:val="left" w:pos="440"/>
        <w:tab w:val="right" w:leader="dot" w:pos="9350"/>
      </w:tabs>
      <w:spacing w:after="100"/>
    </w:pPr>
    <w:rPr>
      <w:rFonts w:eastAsiaTheme="minorEastAsia"/>
      <w:b/>
      <w:bCs/>
      <w:noProof/>
    </w:rPr>
  </w:style>
  <w:style w:type="paragraph" w:styleId="TOC3">
    <w:name w:val="toc 3"/>
    <w:basedOn w:val="Normal"/>
    <w:next w:val="Normal"/>
    <w:autoRedefine/>
    <w:uiPriority w:val="39"/>
    <w:unhideWhenUsed/>
    <w:rsid w:val="00B44296"/>
    <w:pPr>
      <w:spacing w:after="100"/>
      <w:ind w:left="440"/>
    </w:pPr>
    <w:rPr>
      <w:rFonts w:eastAsiaTheme="minorEastAsia"/>
    </w:rPr>
  </w:style>
  <w:style w:type="paragraph" w:customStyle="1" w:styleId="H1">
    <w:name w:val="H1"/>
    <w:basedOn w:val="Heading1"/>
    <w:link w:val="H1Char"/>
    <w:qFormat/>
    <w:rsid w:val="00B44296"/>
    <w:pPr>
      <w:numPr>
        <w:numId w:val="4"/>
      </w:numPr>
      <w:spacing w:before="240" w:after="0"/>
    </w:pPr>
    <w:rPr>
      <w:rFonts w:cstheme="minorHAnsi"/>
      <w:b/>
      <w:bCs/>
      <w:sz w:val="28"/>
      <w:szCs w:val="28"/>
    </w:rPr>
  </w:style>
  <w:style w:type="character" w:customStyle="1" w:styleId="H1Char">
    <w:name w:val="H1 Char"/>
    <w:basedOn w:val="Heading1Char"/>
    <w:link w:val="H1"/>
    <w:rsid w:val="00B44296"/>
    <w:rPr>
      <w:rFonts w:asciiTheme="majorHAnsi" w:eastAsiaTheme="majorEastAsia" w:hAnsiTheme="majorHAnsi" w:cstheme="minorHAnsi"/>
      <w:b/>
      <w:bCs/>
      <w:color w:val="0F4761" w:themeColor="accent1" w:themeShade="BF"/>
      <w:kern w:val="0"/>
      <w:sz w:val="28"/>
      <w:szCs w:val="28"/>
      <w14:ligatures w14:val="none"/>
    </w:rPr>
  </w:style>
  <w:style w:type="paragraph" w:customStyle="1" w:styleId="H2">
    <w:name w:val="H2"/>
    <w:basedOn w:val="Heading2"/>
    <w:link w:val="H2Char"/>
    <w:qFormat/>
    <w:rsid w:val="00B44296"/>
    <w:pPr>
      <w:numPr>
        <w:numId w:val="5"/>
      </w:numPr>
      <w:spacing w:before="40" w:after="0"/>
    </w:pPr>
    <w:rPr>
      <w:rFonts w:cstheme="minorHAnsi"/>
      <w:b/>
      <w:bCs/>
      <w:sz w:val="24"/>
      <w:szCs w:val="24"/>
    </w:rPr>
  </w:style>
  <w:style w:type="character" w:customStyle="1" w:styleId="H2Char">
    <w:name w:val="H2 Char"/>
    <w:basedOn w:val="Heading2Char"/>
    <w:link w:val="H2"/>
    <w:rsid w:val="00B44296"/>
    <w:rPr>
      <w:rFonts w:asciiTheme="majorHAnsi" w:eastAsiaTheme="majorEastAsia" w:hAnsiTheme="majorHAnsi" w:cstheme="minorHAnsi"/>
      <w:b/>
      <w:bCs/>
      <w:color w:val="0F4761" w:themeColor="accent1" w:themeShade="BF"/>
      <w:kern w:val="0"/>
      <w:sz w:val="24"/>
      <w:szCs w:val="24"/>
      <w14:ligatures w14:val="none"/>
    </w:rPr>
  </w:style>
  <w:style w:type="paragraph" w:styleId="Header">
    <w:name w:val="header"/>
    <w:basedOn w:val="Normal"/>
    <w:link w:val="HeaderChar"/>
    <w:uiPriority w:val="99"/>
    <w:unhideWhenUsed/>
    <w:rsid w:val="00B44296"/>
    <w:pPr>
      <w:tabs>
        <w:tab w:val="center" w:pos="4680"/>
        <w:tab w:val="right" w:pos="9360"/>
      </w:tabs>
    </w:pPr>
  </w:style>
  <w:style w:type="character" w:customStyle="1" w:styleId="HeaderChar">
    <w:name w:val="Header Char"/>
    <w:basedOn w:val="DefaultParagraphFont"/>
    <w:link w:val="Header"/>
    <w:uiPriority w:val="99"/>
    <w:rsid w:val="00B44296"/>
    <w:rPr>
      <w:rFonts w:eastAsia="Times New Roman" w:cs="Times New Roman"/>
      <w:kern w:val="0"/>
      <w:szCs w:val="24"/>
      <w14:ligatures w14:val="none"/>
    </w:rPr>
  </w:style>
  <w:style w:type="paragraph" w:styleId="Footer">
    <w:name w:val="footer"/>
    <w:basedOn w:val="Normal"/>
    <w:link w:val="FooterChar"/>
    <w:uiPriority w:val="99"/>
    <w:unhideWhenUsed/>
    <w:rsid w:val="00B44296"/>
    <w:pPr>
      <w:tabs>
        <w:tab w:val="center" w:pos="4680"/>
        <w:tab w:val="right" w:pos="9360"/>
      </w:tabs>
    </w:pPr>
  </w:style>
  <w:style w:type="character" w:customStyle="1" w:styleId="FooterChar">
    <w:name w:val="Footer Char"/>
    <w:basedOn w:val="DefaultParagraphFont"/>
    <w:link w:val="Footer"/>
    <w:uiPriority w:val="99"/>
    <w:rsid w:val="00B44296"/>
    <w:rPr>
      <w:rFonts w:eastAsia="Times New Roman" w:cs="Times New Roman"/>
      <w:kern w:val="0"/>
      <w:szCs w:val="24"/>
      <w14:ligatures w14:val="none"/>
    </w:rPr>
  </w:style>
  <w:style w:type="paragraph" w:styleId="NormalWeb">
    <w:name w:val="Normal (Web)"/>
    <w:basedOn w:val="Normal"/>
    <w:uiPriority w:val="99"/>
    <w:semiHidden/>
    <w:unhideWhenUsed/>
    <w:rsid w:val="00B44296"/>
  </w:style>
  <w:style w:type="paragraph" w:customStyle="1" w:styleId="Default">
    <w:name w:val="Default"/>
    <w:rsid w:val="00B44296"/>
    <w:pPr>
      <w:autoSpaceDE w:val="0"/>
      <w:autoSpaceDN w:val="0"/>
      <w:adjustRightInd w:val="0"/>
      <w:spacing w:after="0" w:line="240" w:lineRule="auto"/>
    </w:pPr>
    <w:rPr>
      <w:rFonts w:ascii="Courier New" w:hAnsi="Courier New" w:cs="Courier New"/>
      <w:color w:val="000000"/>
      <w:kern w:val="0"/>
      <w:sz w:val="24"/>
      <w:szCs w:val="24"/>
    </w:rPr>
  </w:style>
  <w:style w:type="paragraph" w:styleId="BalloonText">
    <w:name w:val="Balloon Text"/>
    <w:basedOn w:val="Normal"/>
    <w:link w:val="BalloonTextChar"/>
    <w:uiPriority w:val="99"/>
    <w:semiHidden/>
    <w:unhideWhenUsed/>
    <w:rsid w:val="00586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279"/>
    <w:rPr>
      <w:rFonts w:ascii="Segoe UI" w:eastAsia="Times New Roman" w:hAnsi="Segoe UI" w:cs="Segoe UI"/>
      <w:kern w:val="0"/>
      <w:sz w:val="18"/>
      <w:szCs w:val="18"/>
      <w14:ligatures w14:val="none"/>
    </w:rPr>
  </w:style>
  <w:style w:type="paragraph" w:styleId="HTMLPreformatted">
    <w:name w:val="HTML Preformatted"/>
    <w:basedOn w:val="Normal"/>
    <w:link w:val="HTMLPreformattedChar"/>
    <w:uiPriority w:val="99"/>
    <w:semiHidden/>
    <w:unhideWhenUsed/>
    <w:rsid w:val="004356B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56B1"/>
    <w:rPr>
      <w:rFonts w:ascii="Consolas" w:eastAsia="Times New Roman" w:hAnsi="Consolas" w:cs="Consolas"/>
      <w:kern w:val="0"/>
      <w:sz w:val="20"/>
      <w:szCs w:val="20"/>
      <w14:ligatures w14:val="none"/>
    </w:rPr>
  </w:style>
  <w:style w:type="character" w:customStyle="1" w:styleId="UnresolvedMention2">
    <w:name w:val="Unresolved Mention2"/>
    <w:basedOn w:val="DefaultParagraphFont"/>
    <w:uiPriority w:val="99"/>
    <w:semiHidden/>
    <w:unhideWhenUsed/>
    <w:rsid w:val="0079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44">
      <w:bodyDiv w:val="1"/>
      <w:marLeft w:val="0"/>
      <w:marRight w:val="0"/>
      <w:marTop w:val="0"/>
      <w:marBottom w:val="0"/>
      <w:divBdr>
        <w:top w:val="none" w:sz="0" w:space="0" w:color="auto"/>
        <w:left w:val="none" w:sz="0" w:space="0" w:color="auto"/>
        <w:bottom w:val="none" w:sz="0" w:space="0" w:color="auto"/>
        <w:right w:val="none" w:sz="0" w:space="0" w:color="auto"/>
      </w:divBdr>
    </w:div>
    <w:div w:id="97263271">
      <w:bodyDiv w:val="1"/>
      <w:marLeft w:val="0"/>
      <w:marRight w:val="0"/>
      <w:marTop w:val="0"/>
      <w:marBottom w:val="0"/>
      <w:divBdr>
        <w:top w:val="none" w:sz="0" w:space="0" w:color="auto"/>
        <w:left w:val="none" w:sz="0" w:space="0" w:color="auto"/>
        <w:bottom w:val="none" w:sz="0" w:space="0" w:color="auto"/>
        <w:right w:val="none" w:sz="0" w:space="0" w:color="auto"/>
      </w:divBdr>
    </w:div>
    <w:div w:id="135533417">
      <w:bodyDiv w:val="1"/>
      <w:marLeft w:val="0"/>
      <w:marRight w:val="0"/>
      <w:marTop w:val="0"/>
      <w:marBottom w:val="0"/>
      <w:divBdr>
        <w:top w:val="none" w:sz="0" w:space="0" w:color="auto"/>
        <w:left w:val="none" w:sz="0" w:space="0" w:color="auto"/>
        <w:bottom w:val="none" w:sz="0" w:space="0" w:color="auto"/>
        <w:right w:val="none" w:sz="0" w:space="0" w:color="auto"/>
      </w:divBdr>
    </w:div>
    <w:div w:id="146217005">
      <w:bodyDiv w:val="1"/>
      <w:marLeft w:val="0"/>
      <w:marRight w:val="0"/>
      <w:marTop w:val="0"/>
      <w:marBottom w:val="0"/>
      <w:divBdr>
        <w:top w:val="none" w:sz="0" w:space="0" w:color="auto"/>
        <w:left w:val="none" w:sz="0" w:space="0" w:color="auto"/>
        <w:bottom w:val="none" w:sz="0" w:space="0" w:color="auto"/>
        <w:right w:val="none" w:sz="0" w:space="0" w:color="auto"/>
      </w:divBdr>
    </w:div>
    <w:div w:id="166098079">
      <w:bodyDiv w:val="1"/>
      <w:marLeft w:val="0"/>
      <w:marRight w:val="0"/>
      <w:marTop w:val="0"/>
      <w:marBottom w:val="0"/>
      <w:divBdr>
        <w:top w:val="none" w:sz="0" w:space="0" w:color="auto"/>
        <w:left w:val="none" w:sz="0" w:space="0" w:color="auto"/>
        <w:bottom w:val="none" w:sz="0" w:space="0" w:color="auto"/>
        <w:right w:val="none" w:sz="0" w:space="0" w:color="auto"/>
      </w:divBdr>
    </w:div>
    <w:div w:id="200946402">
      <w:bodyDiv w:val="1"/>
      <w:marLeft w:val="0"/>
      <w:marRight w:val="0"/>
      <w:marTop w:val="0"/>
      <w:marBottom w:val="0"/>
      <w:divBdr>
        <w:top w:val="none" w:sz="0" w:space="0" w:color="auto"/>
        <w:left w:val="none" w:sz="0" w:space="0" w:color="auto"/>
        <w:bottom w:val="none" w:sz="0" w:space="0" w:color="auto"/>
        <w:right w:val="none" w:sz="0" w:space="0" w:color="auto"/>
      </w:divBdr>
    </w:div>
    <w:div w:id="269708700">
      <w:bodyDiv w:val="1"/>
      <w:marLeft w:val="0"/>
      <w:marRight w:val="0"/>
      <w:marTop w:val="0"/>
      <w:marBottom w:val="0"/>
      <w:divBdr>
        <w:top w:val="none" w:sz="0" w:space="0" w:color="auto"/>
        <w:left w:val="none" w:sz="0" w:space="0" w:color="auto"/>
        <w:bottom w:val="none" w:sz="0" w:space="0" w:color="auto"/>
        <w:right w:val="none" w:sz="0" w:space="0" w:color="auto"/>
      </w:divBdr>
    </w:div>
    <w:div w:id="303895938">
      <w:bodyDiv w:val="1"/>
      <w:marLeft w:val="0"/>
      <w:marRight w:val="0"/>
      <w:marTop w:val="0"/>
      <w:marBottom w:val="0"/>
      <w:divBdr>
        <w:top w:val="none" w:sz="0" w:space="0" w:color="auto"/>
        <w:left w:val="none" w:sz="0" w:space="0" w:color="auto"/>
        <w:bottom w:val="none" w:sz="0" w:space="0" w:color="auto"/>
        <w:right w:val="none" w:sz="0" w:space="0" w:color="auto"/>
      </w:divBdr>
    </w:div>
    <w:div w:id="500463884">
      <w:bodyDiv w:val="1"/>
      <w:marLeft w:val="0"/>
      <w:marRight w:val="0"/>
      <w:marTop w:val="0"/>
      <w:marBottom w:val="0"/>
      <w:divBdr>
        <w:top w:val="none" w:sz="0" w:space="0" w:color="auto"/>
        <w:left w:val="none" w:sz="0" w:space="0" w:color="auto"/>
        <w:bottom w:val="none" w:sz="0" w:space="0" w:color="auto"/>
        <w:right w:val="none" w:sz="0" w:space="0" w:color="auto"/>
      </w:divBdr>
    </w:div>
    <w:div w:id="564535031">
      <w:bodyDiv w:val="1"/>
      <w:marLeft w:val="0"/>
      <w:marRight w:val="0"/>
      <w:marTop w:val="0"/>
      <w:marBottom w:val="0"/>
      <w:divBdr>
        <w:top w:val="none" w:sz="0" w:space="0" w:color="auto"/>
        <w:left w:val="none" w:sz="0" w:space="0" w:color="auto"/>
        <w:bottom w:val="none" w:sz="0" w:space="0" w:color="auto"/>
        <w:right w:val="none" w:sz="0" w:space="0" w:color="auto"/>
      </w:divBdr>
    </w:div>
    <w:div w:id="657734309">
      <w:bodyDiv w:val="1"/>
      <w:marLeft w:val="0"/>
      <w:marRight w:val="0"/>
      <w:marTop w:val="0"/>
      <w:marBottom w:val="0"/>
      <w:divBdr>
        <w:top w:val="none" w:sz="0" w:space="0" w:color="auto"/>
        <w:left w:val="none" w:sz="0" w:space="0" w:color="auto"/>
        <w:bottom w:val="none" w:sz="0" w:space="0" w:color="auto"/>
        <w:right w:val="none" w:sz="0" w:space="0" w:color="auto"/>
      </w:divBdr>
    </w:div>
    <w:div w:id="666055997">
      <w:bodyDiv w:val="1"/>
      <w:marLeft w:val="0"/>
      <w:marRight w:val="0"/>
      <w:marTop w:val="0"/>
      <w:marBottom w:val="0"/>
      <w:divBdr>
        <w:top w:val="none" w:sz="0" w:space="0" w:color="auto"/>
        <w:left w:val="none" w:sz="0" w:space="0" w:color="auto"/>
        <w:bottom w:val="none" w:sz="0" w:space="0" w:color="auto"/>
        <w:right w:val="none" w:sz="0" w:space="0" w:color="auto"/>
      </w:divBdr>
    </w:div>
    <w:div w:id="817846434">
      <w:bodyDiv w:val="1"/>
      <w:marLeft w:val="0"/>
      <w:marRight w:val="0"/>
      <w:marTop w:val="0"/>
      <w:marBottom w:val="0"/>
      <w:divBdr>
        <w:top w:val="none" w:sz="0" w:space="0" w:color="auto"/>
        <w:left w:val="none" w:sz="0" w:space="0" w:color="auto"/>
        <w:bottom w:val="none" w:sz="0" w:space="0" w:color="auto"/>
        <w:right w:val="none" w:sz="0" w:space="0" w:color="auto"/>
      </w:divBdr>
    </w:div>
    <w:div w:id="826629068">
      <w:bodyDiv w:val="1"/>
      <w:marLeft w:val="0"/>
      <w:marRight w:val="0"/>
      <w:marTop w:val="0"/>
      <w:marBottom w:val="0"/>
      <w:divBdr>
        <w:top w:val="none" w:sz="0" w:space="0" w:color="auto"/>
        <w:left w:val="none" w:sz="0" w:space="0" w:color="auto"/>
        <w:bottom w:val="none" w:sz="0" w:space="0" w:color="auto"/>
        <w:right w:val="none" w:sz="0" w:space="0" w:color="auto"/>
      </w:divBdr>
    </w:div>
    <w:div w:id="827016559">
      <w:bodyDiv w:val="1"/>
      <w:marLeft w:val="0"/>
      <w:marRight w:val="0"/>
      <w:marTop w:val="0"/>
      <w:marBottom w:val="0"/>
      <w:divBdr>
        <w:top w:val="none" w:sz="0" w:space="0" w:color="auto"/>
        <w:left w:val="none" w:sz="0" w:space="0" w:color="auto"/>
        <w:bottom w:val="none" w:sz="0" w:space="0" w:color="auto"/>
        <w:right w:val="none" w:sz="0" w:space="0" w:color="auto"/>
      </w:divBdr>
    </w:div>
    <w:div w:id="1076780625">
      <w:bodyDiv w:val="1"/>
      <w:marLeft w:val="0"/>
      <w:marRight w:val="0"/>
      <w:marTop w:val="0"/>
      <w:marBottom w:val="0"/>
      <w:divBdr>
        <w:top w:val="none" w:sz="0" w:space="0" w:color="auto"/>
        <w:left w:val="none" w:sz="0" w:space="0" w:color="auto"/>
        <w:bottom w:val="none" w:sz="0" w:space="0" w:color="auto"/>
        <w:right w:val="none" w:sz="0" w:space="0" w:color="auto"/>
      </w:divBdr>
    </w:div>
    <w:div w:id="1226532365">
      <w:bodyDiv w:val="1"/>
      <w:marLeft w:val="0"/>
      <w:marRight w:val="0"/>
      <w:marTop w:val="0"/>
      <w:marBottom w:val="0"/>
      <w:divBdr>
        <w:top w:val="none" w:sz="0" w:space="0" w:color="auto"/>
        <w:left w:val="none" w:sz="0" w:space="0" w:color="auto"/>
        <w:bottom w:val="none" w:sz="0" w:space="0" w:color="auto"/>
        <w:right w:val="none" w:sz="0" w:space="0" w:color="auto"/>
      </w:divBdr>
    </w:div>
    <w:div w:id="1226722527">
      <w:bodyDiv w:val="1"/>
      <w:marLeft w:val="0"/>
      <w:marRight w:val="0"/>
      <w:marTop w:val="0"/>
      <w:marBottom w:val="0"/>
      <w:divBdr>
        <w:top w:val="none" w:sz="0" w:space="0" w:color="auto"/>
        <w:left w:val="none" w:sz="0" w:space="0" w:color="auto"/>
        <w:bottom w:val="none" w:sz="0" w:space="0" w:color="auto"/>
        <w:right w:val="none" w:sz="0" w:space="0" w:color="auto"/>
      </w:divBdr>
    </w:div>
    <w:div w:id="1292324772">
      <w:bodyDiv w:val="1"/>
      <w:marLeft w:val="0"/>
      <w:marRight w:val="0"/>
      <w:marTop w:val="0"/>
      <w:marBottom w:val="0"/>
      <w:divBdr>
        <w:top w:val="none" w:sz="0" w:space="0" w:color="auto"/>
        <w:left w:val="none" w:sz="0" w:space="0" w:color="auto"/>
        <w:bottom w:val="none" w:sz="0" w:space="0" w:color="auto"/>
        <w:right w:val="none" w:sz="0" w:space="0" w:color="auto"/>
      </w:divBdr>
    </w:div>
    <w:div w:id="1316447023">
      <w:bodyDiv w:val="1"/>
      <w:marLeft w:val="0"/>
      <w:marRight w:val="0"/>
      <w:marTop w:val="0"/>
      <w:marBottom w:val="0"/>
      <w:divBdr>
        <w:top w:val="none" w:sz="0" w:space="0" w:color="auto"/>
        <w:left w:val="none" w:sz="0" w:space="0" w:color="auto"/>
        <w:bottom w:val="none" w:sz="0" w:space="0" w:color="auto"/>
        <w:right w:val="none" w:sz="0" w:space="0" w:color="auto"/>
      </w:divBdr>
    </w:div>
    <w:div w:id="1379863960">
      <w:bodyDiv w:val="1"/>
      <w:marLeft w:val="0"/>
      <w:marRight w:val="0"/>
      <w:marTop w:val="0"/>
      <w:marBottom w:val="0"/>
      <w:divBdr>
        <w:top w:val="none" w:sz="0" w:space="0" w:color="auto"/>
        <w:left w:val="none" w:sz="0" w:space="0" w:color="auto"/>
        <w:bottom w:val="none" w:sz="0" w:space="0" w:color="auto"/>
        <w:right w:val="none" w:sz="0" w:space="0" w:color="auto"/>
      </w:divBdr>
    </w:div>
    <w:div w:id="1399521618">
      <w:bodyDiv w:val="1"/>
      <w:marLeft w:val="0"/>
      <w:marRight w:val="0"/>
      <w:marTop w:val="0"/>
      <w:marBottom w:val="0"/>
      <w:divBdr>
        <w:top w:val="none" w:sz="0" w:space="0" w:color="auto"/>
        <w:left w:val="none" w:sz="0" w:space="0" w:color="auto"/>
        <w:bottom w:val="none" w:sz="0" w:space="0" w:color="auto"/>
        <w:right w:val="none" w:sz="0" w:space="0" w:color="auto"/>
      </w:divBdr>
    </w:div>
    <w:div w:id="1619336121">
      <w:bodyDiv w:val="1"/>
      <w:marLeft w:val="0"/>
      <w:marRight w:val="0"/>
      <w:marTop w:val="0"/>
      <w:marBottom w:val="0"/>
      <w:divBdr>
        <w:top w:val="none" w:sz="0" w:space="0" w:color="auto"/>
        <w:left w:val="none" w:sz="0" w:space="0" w:color="auto"/>
        <w:bottom w:val="none" w:sz="0" w:space="0" w:color="auto"/>
        <w:right w:val="none" w:sz="0" w:space="0" w:color="auto"/>
      </w:divBdr>
    </w:div>
    <w:div w:id="1669096803">
      <w:bodyDiv w:val="1"/>
      <w:marLeft w:val="0"/>
      <w:marRight w:val="0"/>
      <w:marTop w:val="0"/>
      <w:marBottom w:val="0"/>
      <w:divBdr>
        <w:top w:val="none" w:sz="0" w:space="0" w:color="auto"/>
        <w:left w:val="none" w:sz="0" w:space="0" w:color="auto"/>
        <w:bottom w:val="none" w:sz="0" w:space="0" w:color="auto"/>
        <w:right w:val="none" w:sz="0" w:space="0" w:color="auto"/>
      </w:divBdr>
      <w:divsChild>
        <w:div w:id="352344396">
          <w:marLeft w:val="0"/>
          <w:marRight w:val="0"/>
          <w:marTop w:val="0"/>
          <w:marBottom w:val="0"/>
          <w:divBdr>
            <w:top w:val="none" w:sz="0" w:space="0" w:color="auto"/>
            <w:left w:val="none" w:sz="0" w:space="0" w:color="auto"/>
            <w:bottom w:val="none" w:sz="0" w:space="0" w:color="auto"/>
            <w:right w:val="none" w:sz="0" w:space="0" w:color="auto"/>
          </w:divBdr>
          <w:divsChild>
            <w:div w:id="877005872">
              <w:marLeft w:val="0"/>
              <w:marRight w:val="0"/>
              <w:marTop w:val="0"/>
              <w:marBottom w:val="0"/>
              <w:divBdr>
                <w:top w:val="none" w:sz="0" w:space="0" w:color="auto"/>
                <w:left w:val="none" w:sz="0" w:space="0" w:color="auto"/>
                <w:bottom w:val="none" w:sz="0" w:space="0" w:color="auto"/>
                <w:right w:val="none" w:sz="0" w:space="0" w:color="auto"/>
              </w:divBdr>
              <w:divsChild>
                <w:div w:id="12248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53041">
      <w:bodyDiv w:val="1"/>
      <w:marLeft w:val="0"/>
      <w:marRight w:val="0"/>
      <w:marTop w:val="0"/>
      <w:marBottom w:val="0"/>
      <w:divBdr>
        <w:top w:val="none" w:sz="0" w:space="0" w:color="auto"/>
        <w:left w:val="none" w:sz="0" w:space="0" w:color="auto"/>
        <w:bottom w:val="none" w:sz="0" w:space="0" w:color="auto"/>
        <w:right w:val="none" w:sz="0" w:space="0" w:color="auto"/>
      </w:divBdr>
    </w:div>
    <w:div w:id="1774322390">
      <w:bodyDiv w:val="1"/>
      <w:marLeft w:val="0"/>
      <w:marRight w:val="0"/>
      <w:marTop w:val="0"/>
      <w:marBottom w:val="0"/>
      <w:divBdr>
        <w:top w:val="none" w:sz="0" w:space="0" w:color="auto"/>
        <w:left w:val="none" w:sz="0" w:space="0" w:color="auto"/>
        <w:bottom w:val="none" w:sz="0" w:space="0" w:color="auto"/>
        <w:right w:val="none" w:sz="0" w:space="0" w:color="auto"/>
      </w:divBdr>
    </w:div>
    <w:div w:id="1879201205">
      <w:bodyDiv w:val="1"/>
      <w:marLeft w:val="0"/>
      <w:marRight w:val="0"/>
      <w:marTop w:val="0"/>
      <w:marBottom w:val="0"/>
      <w:divBdr>
        <w:top w:val="none" w:sz="0" w:space="0" w:color="auto"/>
        <w:left w:val="none" w:sz="0" w:space="0" w:color="auto"/>
        <w:bottom w:val="none" w:sz="0" w:space="0" w:color="auto"/>
        <w:right w:val="none" w:sz="0" w:space="0" w:color="auto"/>
      </w:divBdr>
    </w:div>
    <w:div w:id="1884364919">
      <w:bodyDiv w:val="1"/>
      <w:marLeft w:val="0"/>
      <w:marRight w:val="0"/>
      <w:marTop w:val="0"/>
      <w:marBottom w:val="0"/>
      <w:divBdr>
        <w:top w:val="none" w:sz="0" w:space="0" w:color="auto"/>
        <w:left w:val="none" w:sz="0" w:space="0" w:color="auto"/>
        <w:bottom w:val="none" w:sz="0" w:space="0" w:color="auto"/>
        <w:right w:val="none" w:sz="0" w:space="0" w:color="auto"/>
      </w:divBdr>
    </w:div>
    <w:div w:id="1913813619">
      <w:bodyDiv w:val="1"/>
      <w:marLeft w:val="0"/>
      <w:marRight w:val="0"/>
      <w:marTop w:val="0"/>
      <w:marBottom w:val="0"/>
      <w:divBdr>
        <w:top w:val="none" w:sz="0" w:space="0" w:color="auto"/>
        <w:left w:val="none" w:sz="0" w:space="0" w:color="auto"/>
        <w:bottom w:val="none" w:sz="0" w:space="0" w:color="auto"/>
        <w:right w:val="none" w:sz="0" w:space="0" w:color="auto"/>
      </w:divBdr>
    </w:div>
    <w:div w:id="2077315321">
      <w:bodyDiv w:val="1"/>
      <w:marLeft w:val="0"/>
      <w:marRight w:val="0"/>
      <w:marTop w:val="0"/>
      <w:marBottom w:val="0"/>
      <w:divBdr>
        <w:top w:val="none" w:sz="0" w:space="0" w:color="auto"/>
        <w:left w:val="none" w:sz="0" w:space="0" w:color="auto"/>
        <w:bottom w:val="none" w:sz="0" w:space="0" w:color="auto"/>
        <w:right w:val="none" w:sz="0" w:space="0" w:color="auto"/>
      </w:divBdr>
    </w:div>
    <w:div w:id="2079134571">
      <w:bodyDiv w:val="1"/>
      <w:marLeft w:val="0"/>
      <w:marRight w:val="0"/>
      <w:marTop w:val="0"/>
      <w:marBottom w:val="0"/>
      <w:divBdr>
        <w:top w:val="none" w:sz="0" w:space="0" w:color="auto"/>
        <w:left w:val="none" w:sz="0" w:space="0" w:color="auto"/>
        <w:bottom w:val="none" w:sz="0" w:space="0" w:color="auto"/>
        <w:right w:val="none" w:sz="0" w:space="0" w:color="auto"/>
      </w:divBdr>
    </w:div>
    <w:div w:id="209377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lsenate.gov/Senators/S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2f698c-99b4-4bfd-affe-ff2e23d3ff31">
      <Terms xmlns="http://schemas.microsoft.com/office/infopath/2007/PartnerControls"/>
    </lcf76f155ced4ddcb4097134ff3c332f>
    <TaxCatchAll xmlns="9e2a27be-982f-49a2-9720-f7a76ba356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D288760E0C84189C250417ED43494" ma:contentTypeVersion="13" ma:contentTypeDescription="Create a new document." ma:contentTypeScope="" ma:versionID="5249fec7451523faa3caa41f34a37327">
  <xsd:schema xmlns:xsd="http://www.w3.org/2001/XMLSchema" xmlns:xs="http://www.w3.org/2001/XMLSchema" xmlns:p="http://schemas.microsoft.com/office/2006/metadata/properties" xmlns:ns2="3c2f698c-99b4-4bfd-affe-ff2e23d3ff31" xmlns:ns3="9e2a27be-982f-49a2-9720-f7a76ba356d4" targetNamespace="http://schemas.microsoft.com/office/2006/metadata/properties" ma:root="true" ma:fieldsID="c998e5c143ae2601bfcaddc5ff8f94ce" ns2:_="" ns3:_="">
    <xsd:import namespace="3c2f698c-99b4-4bfd-affe-ff2e23d3ff31"/>
    <xsd:import namespace="9e2a27be-982f-49a2-9720-f7a76ba356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f698c-99b4-4bfd-affe-ff2e23d3f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491c37-461d-43ce-b4f1-bbbde56e0632"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a27be-982f-49a2-9720-f7a76ba356d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ce0ad2-6ffe-4e90-b8c3-2409df1134c3}" ma:internalName="TaxCatchAll" ma:showField="CatchAllData" ma:web="9e2a27be-982f-49a2-9720-f7a76ba35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241EA-CF58-4E24-B24D-1C5F66828C0D}">
  <ds:schemaRef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9e2a27be-982f-49a2-9720-f7a76ba356d4"/>
    <ds:schemaRef ds:uri="3c2f698c-99b4-4bfd-affe-ff2e23d3ff31"/>
    <ds:schemaRef ds:uri="http://purl.org/dc/dcmitype/"/>
  </ds:schemaRefs>
</ds:datastoreItem>
</file>

<file path=customXml/itemProps2.xml><?xml version="1.0" encoding="utf-8"?>
<ds:datastoreItem xmlns:ds="http://schemas.openxmlformats.org/officeDocument/2006/customXml" ds:itemID="{91F37249-02F8-4F26-A714-F5043972338B}">
  <ds:schemaRefs>
    <ds:schemaRef ds:uri="http://schemas.microsoft.com/sharepoint/v3/contenttype/forms"/>
  </ds:schemaRefs>
</ds:datastoreItem>
</file>

<file path=customXml/itemProps3.xml><?xml version="1.0" encoding="utf-8"?>
<ds:datastoreItem xmlns:ds="http://schemas.openxmlformats.org/officeDocument/2006/customXml" ds:itemID="{DEA780F6-3FF2-4E42-BF14-404D98A80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f698c-99b4-4bfd-affe-ff2e23d3ff31"/>
    <ds:schemaRef ds:uri="9e2a27be-982f-49a2-9720-f7a76ba3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18</Pages>
  <Words>7183</Words>
  <Characters>42823</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Neault, Jean-Michel</dc:creator>
  <cp:keywords/>
  <dc:description/>
  <cp:lastModifiedBy>Jill Walker</cp:lastModifiedBy>
  <cp:revision>11</cp:revision>
  <cp:lastPrinted>2025-09-15T18:12:00Z</cp:lastPrinted>
  <dcterms:created xsi:type="dcterms:W3CDTF">2025-08-28T13:32:00Z</dcterms:created>
  <dcterms:modified xsi:type="dcterms:W3CDTF">2025-09-15T18:12:00Z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a8ee9bf6084b974b681fc1bbc3311f8dff1d51508c28c3e71f6c86554d97df06</vt:lpwstr>
  </property>
  <property fmtid="{D5CDD505-2E9C-101B-9397-08002B2CF9AE}" pid="3" name="MSIP_Label_defa4170-0d19-0005-0004-bc88714345d2_Enabled">
    <vt:lpwstr>true</vt:lpwstr>
  </property>
  <property fmtid="{D5CDD505-2E9C-101B-9397-08002B2CF9AE}" pid="4" name="MSIP_Label_defa4170-0d19-0005-0004-bc88714345d2_SetDate">
    <vt:lpwstr>2025-07-17T14:54:06Z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12b75a1b-58c7-4914-b4cd-787d142c8a56</vt:lpwstr>
  </property>
  <property fmtid="{D5CDD505-2E9C-101B-9397-08002B2CF9AE}" pid="8" name="MSIP_Label_defa4170-0d19-0005-0004-bc88714345d2_ActionId">
    <vt:lpwstr>8de240c0-d463-47f1-b605-772a56be767c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y fmtid="{D5CDD505-2E9C-101B-9397-08002B2CF9AE}" pid="12" name="ContentTypeId">
    <vt:lpwstr>0x010100FAFD288760E0C84189C250417ED43494</vt:lpwstr>
  </property>
  <property fmtid="{D5CDD505-2E9C-101B-9397-08002B2CF9AE}" pid="13" name="docLang">
    <vt:lpwstr>en</vt:lpwstr>
  </property>
</Properties>
</file>