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8D0B" w14:textId="77777777" w:rsidR="00482D5B" w:rsidRDefault="00482D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E7B94A" w14:textId="77777777" w:rsidR="00482D5B" w:rsidRDefault="00482D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BBFAA4" w14:textId="77777777" w:rsidR="00482D5B" w:rsidRDefault="00482D5B">
      <w:pPr>
        <w:spacing w:before="7"/>
        <w:rPr>
          <w:rFonts w:ascii="Times New Roman" w:eastAsia="Times New Roman" w:hAnsi="Times New Roman" w:cs="Times New Roman"/>
        </w:rPr>
      </w:pPr>
    </w:p>
    <w:p w14:paraId="378B263E" w14:textId="00800D97" w:rsidR="00482D5B" w:rsidRDefault="00AB51CC">
      <w:pPr>
        <w:pStyle w:val="Heading1"/>
        <w:spacing w:before="44"/>
        <w:ind w:right="295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C984B7" wp14:editId="1327FF76">
            <wp:simplePos x="0" y="0"/>
            <wp:positionH relativeFrom="page">
              <wp:posOffset>933450</wp:posOffset>
            </wp:positionH>
            <wp:positionV relativeFrom="paragraph">
              <wp:posOffset>-406400</wp:posOffset>
            </wp:positionV>
            <wp:extent cx="157162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18">
        <w:rPr>
          <w:spacing w:val="-1"/>
        </w:rPr>
        <w:t>Florida</w:t>
      </w:r>
      <w:r w:rsidR="00285F18">
        <w:t xml:space="preserve"> </w:t>
      </w:r>
      <w:r w:rsidR="00285F18">
        <w:rPr>
          <w:spacing w:val="-2"/>
        </w:rPr>
        <w:t>Government</w:t>
      </w:r>
      <w:r w:rsidR="00285F18">
        <w:rPr>
          <w:spacing w:val="-1"/>
        </w:rPr>
        <w:t xml:space="preserve"> Finance</w:t>
      </w:r>
      <w:r w:rsidR="00285F18">
        <w:t xml:space="preserve"> </w:t>
      </w:r>
      <w:r w:rsidR="00285F18">
        <w:rPr>
          <w:spacing w:val="-1"/>
        </w:rPr>
        <w:t>Officers</w:t>
      </w:r>
      <w:r w:rsidR="00285F18">
        <w:t xml:space="preserve"> </w:t>
      </w:r>
      <w:r w:rsidR="00285F18">
        <w:rPr>
          <w:spacing w:val="-1"/>
        </w:rPr>
        <w:t>Association</w:t>
      </w:r>
      <w:r w:rsidR="00285F18">
        <w:rPr>
          <w:spacing w:val="37"/>
        </w:rPr>
        <w:t xml:space="preserve"> </w:t>
      </w:r>
      <w:r w:rsidR="00285F18">
        <w:t>Social</w:t>
      </w:r>
      <w:r w:rsidR="00285F18">
        <w:rPr>
          <w:spacing w:val="-1"/>
        </w:rPr>
        <w:t xml:space="preserve"> Media</w:t>
      </w:r>
      <w:r w:rsidR="00285F18">
        <w:t xml:space="preserve"> </w:t>
      </w:r>
      <w:r w:rsidR="00285F18">
        <w:rPr>
          <w:spacing w:val="-2"/>
        </w:rPr>
        <w:t>Policy</w:t>
      </w:r>
    </w:p>
    <w:p w14:paraId="7046E8FE" w14:textId="2F954855" w:rsidR="00482D5B" w:rsidRDefault="003B18E6">
      <w:pPr>
        <w:spacing w:before="1"/>
        <w:ind w:left="298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February 3, 2017</w:t>
      </w:r>
    </w:p>
    <w:p w14:paraId="6B655B9F" w14:textId="77777777" w:rsidR="00482D5B" w:rsidRDefault="00482D5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78CCA3" w14:textId="77777777" w:rsidR="00482D5B" w:rsidRDefault="00482D5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74F5603" w14:textId="77777777" w:rsidR="00482D5B" w:rsidRDefault="00482D5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9A3B843" w14:textId="77777777" w:rsidR="00482D5B" w:rsidRDefault="00482D5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E0AFE4" w14:textId="77777777" w:rsidR="00482D5B" w:rsidRDefault="00482D5B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14:paraId="3EC89798" w14:textId="17EF34D5" w:rsidR="00482D5B" w:rsidRDefault="00285F18">
      <w:pPr>
        <w:pStyle w:val="BodyText"/>
        <w:spacing w:before="56"/>
        <w:ind w:left="100" w:right="295" w:firstLine="0"/>
        <w:rPr>
          <w:spacing w:val="-1"/>
        </w:rPr>
      </w:pP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includes</w:t>
      </w:r>
      <w:r>
        <w:t xml:space="preserve"> all </w:t>
      </w:r>
      <w:r>
        <w:rPr>
          <w:spacing w:val="-1"/>
        </w:rPr>
        <w:t>Internet,</w:t>
      </w:r>
      <w:r>
        <w:rPr>
          <w:spacing w:val="-3"/>
        </w:rPr>
        <w:t xml:space="preserve"> </w:t>
      </w:r>
      <w:r>
        <w:rPr>
          <w:spacing w:val="-1"/>
        </w:rPr>
        <w:t>Intranet,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other web-based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mobile</w:t>
      </w:r>
      <w:r>
        <w:t xml:space="preserve"> </w:t>
      </w:r>
      <w:r>
        <w:rPr>
          <w:spacing w:val="-1"/>
        </w:rPr>
        <w:t>technologies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to</w:t>
      </w:r>
      <w:r>
        <w:rPr>
          <w:spacing w:val="91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membership.</w:t>
      </w:r>
      <w:r>
        <w:t xml:space="preserve"> </w:t>
      </w:r>
      <w:r>
        <w:rPr>
          <w:spacing w:val="-1"/>
        </w:rPr>
        <w:t>Generally</w:t>
      </w:r>
      <w: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2"/>
        </w:rPr>
        <w:t xml:space="preserve"> </w:t>
      </w:r>
      <w:r>
        <w:t xml:space="preserve">tools </w:t>
      </w:r>
      <w:r>
        <w:rPr>
          <w:spacing w:val="-1"/>
        </w:rPr>
        <w:t>fall into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categories;</w:t>
      </w:r>
      <w:r>
        <w:rPr>
          <w:spacing w:val="71"/>
        </w:rPr>
        <w:t xml:space="preserve"> </w:t>
      </w:r>
      <w:r>
        <w:rPr>
          <w:spacing w:val="-1"/>
        </w:rPr>
        <w:t xml:space="preserve">channels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disseminating</w:t>
      </w:r>
      <w:r>
        <w:rPr>
          <w:spacing w:val="-3"/>
        </w:rPr>
        <w:t xml:space="preserve"> </w:t>
      </w:r>
      <w:r>
        <w:rPr>
          <w:spacing w:val="-1"/>
        </w:rPr>
        <w:t>time-sensitive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quickly; marketing/promotional</w:t>
      </w:r>
      <w:r>
        <w:t xml:space="preserve"> </w:t>
      </w:r>
      <w:r>
        <w:rPr>
          <w:spacing w:val="-1"/>
        </w:rPr>
        <w:t>channels</w:t>
      </w:r>
      <w:r>
        <w:rPr>
          <w:spacing w:val="-2"/>
        </w:rPr>
        <w:t xml:space="preserve"> </w:t>
      </w:r>
      <w:r>
        <w:t>that</w:t>
      </w:r>
      <w:r>
        <w:rPr>
          <w:spacing w:val="73"/>
        </w:rPr>
        <w:t xml:space="preserve"> </w:t>
      </w:r>
      <w:r>
        <w:rPr>
          <w:spacing w:val="-1"/>
        </w:rPr>
        <w:t>increase th</w:t>
      </w:r>
      <w:r>
        <w:rPr>
          <w:rFonts w:cs="Calibri"/>
          <w:spacing w:val="-1"/>
        </w:rPr>
        <w:t>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FGFOA’s</w:t>
      </w:r>
      <w:proofErr w:type="spellEnd"/>
      <w:r>
        <w:rPr>
          <w:rFonts w:cs="Calibri"/>
        </w:rP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broadcast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messages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widest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audience;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engage</w:t>
      </w:r>
      <w:r>
        <w:t xml:space="preserve"> in</w:t>
      </w:r>
      <w:r>
        <w:rPr>
          <w:spacing w:val="-1"/>
        </w:rPr>
        <w:t xml:space="preserve"> transparent</w:t>
      </w:r>
      <w:r>
        <w:t xml:space="preserve"> </w:t>
      </w:r>
      <w:r>
        <w:rPr>
          <w:spacing w:val="-1"/>
        </w:rPr>
        <w:t>conversations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FGFOA</w:t>
      </w:r>
      <w:r>
        <w:t xml:space="preserve"> </w:t>
      </w:r>
      <w:r>
        <w:rPr>
          <w:spacing w:val="-1"/>
        </w:rPr>
        <w:t xml:space="preserve">and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membership.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FGFOA’s</w:t>
      </w:r>
      <w:proofErr w:type="spellEnd"/>
      <w:r>
        <w:rPr>
          <w:rFonts w:cs="Calibri"/>
          <w:spacing w:val="1"/>
        </w:rPr>
        <w:t xml:space="preserve"> </w:t>
      </w:r>
      <w:r>
        <w:rPr>
          <w:spacing w:val="-2"/>
        </w:rPr>
        <w:t xml:space="preserve">use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Internet,</w:t>
      </w:r>
      <w:r>
        <w:t xml:space="preserve"> </w:t>
      </w:r>
      <w:r>
        <w:rPr>
          <w:spacing w:val="-1"/>
        </w:rPr>
        <w:t>Intranet,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web-based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mobile</w:t>
      </w:r>
      <w:r>
        <w:rPr>
          <w:spacing w:val="-2"/>
        </w:rPr>
        <w:t xml:space="preserve"> </w:t>
      </w:r>
      <w:r>
        <w:rPr>
          <w:spacing w:val="-1"/>
        </w:rPr>
        <w:t>technologies, including Facebook</w:t>
      </w:r>
      <w:r w:rsidR="00F571F6">
        <w:rPr>
          <w:spacing w:val="-1"/>
        </w:rPr>
        <w:t>, Twitter, and YouTube</w:t>
      </w:r>
      <w:r>
        <w:rPr>
          <w:spacing w:val="-1"/>
        </w:rPr>
        <w:t>,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 w:rsidR="00457189">
        <w:rPr>
          <w:spacing w:val="-1"/>
        </w:rPr>
        <w:t xml:space="preserve"> s</w:t>
      </w:r>
      <w:r>
        <w:t>ocial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policy.</w:t>
      </w:r>
    </w:p>
    <w:p w14:paraId="4A9B773F" w14:textId="77777777" w:rsidR="00482D5B" w:rsidRDefault="00482D5B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8BA5F0B" w14:textId="77777777" w:rsidR="00B4399B" w:rsidRPr="00B4399B" w:rsidRDefault="00B4399B" w:rsidP="00B4399B">
      <w:pPr>
        <w:pStyle w:val="BodyText"/>
        <w:numPr>
          <w:ilvl w:val="0"/>
          <w:numId w:val="1"/>
        </w:numPr>
        <w:tabs>
          <w:tab w:val="left" w:pos="821"/>
        </w:tabs>
        <w:spacing w:line="277" w:lineRule="auto"/>
        <w:ind w:right="493"/>
      </w:pPr>
      <w:r w:rsidRPr="00B4399B">
        <w:rPr>
          <w:spacing w:val="-1"/>
        </w:rPr>
        <w:t>The Social Media Committee will designate individuals to comment</w:t>
      </w:r>
      <w:r>
        <w:rPr>
          <w:spacing w:val="-1"/>
        </w:rPr>
        <w:t xml:space="preserve"> and</w:t>
      </w:r>
      <w:r w:rsidRPr="00B4399B">
        <w:rPr>
          <w:spacing w:val="-1"/>
        </w:rPr>
        <w:t xml:space="preserve"> update the content on </w:t>
      </w:r>
      <w:proofErr w:type="spellStart"/>
      <w:r w:rsidRPr="00B4399B">
        <w:rPr>
          <w:spacing w:val="-1"/>
        </w:rPr>
        <w:t>FGFOA’s</w:t>
      </w:r>
      <w:proofErr w:type="spellEnd"/>
      <w:r w:rsidRPr="00B4399B">
        <w:rPr>
          <w:spacing w:val="-1"/>
        </w:rPr>
        <w:t xml:space="preserve"> social media sites. Additionally, individuals designated by the FGFOA Executive Director in consultation with the FGFOA President are also permitted to comment or update content on the </w:t>
      </w:r>
      <w:proofErr w:type="spellStart"/>
      <w:r w:rsidRPr="00B4399B">
        <w:rPr>
          <w:spacing w:val="-1"/>
        </w:rPr>
        <w:t>FGFOA’s</w:t>
      </w:r>
      <w:proofErr w:type="spellEnd"/>
      <w:r w:rsidRPr="00B4399B">
        <w:rPr>
          <w:spacing w:val="-1"/>
        </w:rPr>
        <w:t xml:space="preserve"> social media sites.  These individuals could include F</w:t>
      </w:r>
      <w:r>
        <w:rPr>
          <w:spacing w:val="-1"/>
        </w:rPr>
        <w:t xml:space="preserve">lorida </w:t>
      </w:r>
      <w:r w:rsidRPr="00B4399B">
        <w:rPr>
          <w:spacing w:val="-1"/>
        </w:rPr>
        <w:t>L</w:t>
      </w:r>
      <w:r>
        <w:rPr>
          <w:spacing w:val="-1"/>
        </w:rPr>
        <w:t xml:space="preserve">eague of </w:t>
      </w:r>
      <w:r w:rsidRPr="00B4399B">
        <w:rPr>
          <w:spacing w:val="-1"/>
        </w:rPr>
        <w:t>C</w:t>
      </w:r>
      <w:r>
        <w:rPr>
          <w:spacing w:val="-1"/>
        </w:rPr>
        <w:t>ity</w:t>
      </w:r>
      <w:r w:rsidRPr="00B4399B">
        <w:rPr>
          <w:spacing w:val="-1"/>
        </w:rPr>
        <w:t xml:space="preserve"> staff, committee chairs, board </w:t>
      </w:r>
      <w:r>
        <w:rPr>
          <w:spacing w:val="-1"/>
        </w:rPr>
        <w:t>members and chapter presidents.</w:t>
      </w:r>
    </w:p>
    <w:p w14:paraId="7936085A" w14:textId="60DCEE14" w:rsidR="00F571F6" w:rsidRPr="00F571F6" w:rsidRDefault="00F571F6" w:rsidP="00B4399B">
      <w:pPr>
        <w:pStyle w:val="BodyText"/>
        <w:numPr>
          <w:ilvl w:val="0"/>
          <w:numId w:val="1"/>
        </w:numPr>
        <w:tabs>
          <w:tab w:val="left" w:pos="821"/>
        </w:tabs>
        <w:spacing w:line="277" w:lineRule="auto"/>
        <w:ind w:right="493"/>
      </w:pPr>
      <w:bookmarkStart w:id="0" w:name="_GoBack"/>
      <w:bookmarkEnd w:id="0"/>
      <w:r>
        <w:rPr>
          <w:spacing w:val="-1"/>
        </w:rPr>
        <w:t>Chapter Presidents may use social media to promote Chapter and FGFOA business.</w:t>
      </w:r>
    </w:p>
    <w:p w14:paraId="0C3EE0DF" w14:textId="77777777" w:rsidR="00F571F6" w:rsidRPr="00F571F6" w:rsidRDefault="00F571F6" w:rsidP="00F571F6">
      <w:pPr>
        <w:pStyle w:val="BodyText"/>
        <w:numPr>
          <w:ilvl w:val="1"/>
          <w:numId w:val="1"/>
        </w:numPr>
        <w:tabs>
          <w:tab w:val="left" w:pos="821"/>
        </w:tabs>
        <w:spacing w:line="277" w:lineRule="auto"/>
        <w:ind w:right="493"/>
      </w:pPr>
      <w:r w:rsidRPr="00F571F6">
        <w:rPr>
          <w:spacing w:val="-1"/>
        </w:rPr>
        <w:t>Chapter Presidents must adhere to this policy.</w:t>
      </w:r>
    </w:p>
    <w:p w14:paraId="635D16EF" w14:textId="15645F70" w:rsidR="00482D5B" w:rsidRPr="00A75B0C" w:rsidRDefault="00285F18" w:rsidP="00F571F6">
      <w:pPr>
        <w:pStyle w:val="BodyText"/>
        <w:numPr>
          <w:ilvl w:val="1"/>
          <w:numId w:val="1"/>
        </w:numPr>
        <w:tabs>
          <w:tab w:val="left" w:pos="821"/>
        </w:tabs>
        <w:spacing w:line="277" w:lineRule="auto"/>
        <w:ind w:right="493"/>
      </w:pPr>
      <w:r w:rsidRPr="00F571F6">
        <w:rPr>
          <w:spacing w:val="-1"/>
        </w:rPr>
        <w:t xml:space="preserve">Chapter Presidents </w:t>
      </w:r>
      <w:r w:rsidR="00F571F6">
        <w:rPr>
          <w:spacing w:val="-1"/>
        </w:rPr>
        <w:t>may</w:t>
      </w:r>
      <w:r w:rsidRPr="00F571F6">
        <w:rPr>
          <w:spacing w:val="-1"/>
        </w:rPr>
        <w:t xml:space="preserve"> designate individuals to comment or update content on the Chapter’s social media sites.</w:t>
      </w:r>
    </w:p>
    <w:p w14:paraId="6BCFE5E2" w14:textId="27EC620D" w:rsidR="00A75B0C" w:rsidRDefault="00A75B0C" w:rsidP="00F571F6">
      <w:pPr>
        <w:pStyle w:val="BodyText"/>
        <w:numPr>
          <w:ilvl w:val="1"/>
          <w:numId w:val="1"/>
        </w:numPr>
        <w:tabs>
          <w:tab w:val="left" w:pos="821"/>
        </w:tabs>
        <w:spacing w:line="277" w:lineRule="auto"/>
        <w:ind w:right="493"/>
      </w:pPr>
      <w:r>
        <w:t>Chapter Presidents shall update the FGFOA periodically with their Chapter’s social media efforts.</w:t>
      </w:r>
    </w:p>
    <w:p w14:paraId="0545AF69" w14:textId="38522647" w:rsidR="00482D5B" w:rsidRDefault="00285F18" w:rsidP="00A75B0C">
      <w:pPr>
        <w:pStyle w:val="BodyText"/>
        <w:numPr>
          <w:ilvl w:val="0"/>
          <w:numId w:val="1"/>
        </w:numPr>
        <w:tabs>
          <w:tab w:val="left" w:pos="821"/>
        </w:tabs>
        <w:spacing w:before="196"/>
      </w:pPr>
      <w:r>
        <w:rPr>
          <w:spacing w:val="-1"/>
        </w:rPr>
        <w:t>All</w:t>
      </w:r>
      <w:r>
        <w:t xml:space="preserve"> FGFOA social media </w:t>
      </w:r>
      <w:r>
        <w:rPr>
          <w:spacing w:val="-1"/>
        </w:rPr>
        <w:t>content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 approval</w:t>
      </w:r>
      <w:r>
        <w:rPr>
          <w:spacing w:val="-3"/>
        </w:rPr>
        <w:t xml:space="preserve"> </w:t>
      </w:r>
      <w:r w:rsidR="00A75B0C">
        <w:rPr>
          <w:spacing w:val="-3"/>
        </w:rPr>
        <w:t>b</w:t>
      </w:r>
      <w:r w:rsidR="00A75B0C" w:rsidRPr="00A75B0C">
        <w:t>y</w:t>
      </w:r>
      <w:r w:rsidR="00A75B0C">
        <w:t xml:space="preserve"> the E</w:t>
      </w:r>
      <w:r w:rsidR="00A75B0C" w:rsidRPr="00A75B0C">
        <w:t xml:space="preserve">xecutive </w:t>
      </w:r>
      <w:r w:rsidR="00A75B0C">
        <w:t>D</w:t>
      </w:r>
      <w:r w:rsidR="00A75B0C" w:rsidRPr="00A75B0C">
        <w:t>irector, staff, or designated members including a social media committee</w:t>
      </w:r>
      <w:r w:rsidR="00A75B0C">
        <w:t>.</w:t>
      </w:r>
    </w:p>
    <w:p w14:paraId="5D6707CA" w14:textId="77777777" w:rsidR="00482D5B" w:rsidRDefault="00482D5B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4A2B682" w14:textId="77777777" w:rsidR="00482D5B" w:rsidRDefault="00285F18">
      <w:pPr>
        <w:pStyle w:val="BodyText"/>
        <w:numPr>
          <w:ilvl w:val="0"/>
          <w:numId w:val="1"/>
        </w:numPr>
        <w:tabs>
          <w:tab w:val="left" w:pos="821"/>
        </w:tabs>
        <w:spacing w:line="275" w:lineRule="auto"/>
        <w:ind w:right="924"/>
      </w:pPr>
      <w:r>
        <w:rPr>
          <w:rFonts w:cs="Calibri"/>
        </w:rPr>
        <w:t xml:space="preserve">The </w:t>
      </w:r>
      <w:proofErr w:type="spellStart"/>
      <w:r>
        <w:rPr>
          <w:rFonts w:cs="Calibri"/>
          <w:spacing w:val="-1"/>
        </w:rPr>
        <w:t>FGFOA’s</w:t>
      </w:r>
      <w:proofErr w:type="spellEnd"/>
      <w:r>
        <w:rPr>
          <w:rFonts w:cs="Calibri"/>
          <w:spacing w:val="-2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(</w:t>
      </w:r>
      <w:hyperlink r:id="rId7">
        <w:r>
          <w:rPr>
            <w:color w:val="0000FF"/>
            <w:spacing w:val="-1"/>
            <w:u w:val="single" w:color="0000FF"/>
          </w:rPr>
          <w:t>www.fgfoa.org</w:t>
        </w:r>
      </w:hyperlink>
      <w:r>
        <w:rPr>
          <w:rFonts w:cs="Calibri"/>
          <w:spacing w:val="-1"/>
        </w:rPr>
        <w:t>)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primary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internet/web</w:t>
      </w:r>
      <w:r>
        <w:rPr>
          <w:rFonts w:cs="Calibri"/>
          <w:spacing w:val="65"/>
        </w:rPr>
        <w:t xml:space="preserve"> </w:t>
      </w:r>
      <w:r>
        <w:rPr>
          <w:spacing w:val="-1"/>
        </w:rPr>
        <w:t>presence.</w:t>
      </w:r>
    </w:p>
    <w:p w14:paraId="0140892C" w14:textId="77777777" w:rsidR="00482D5B" w:rsidRDefault="00482D5B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23DB1EB3" w14:textId="378B9AE8" w:rsidR="00482D5B" w:rsidRDefault="00285F18" w:rsidP="00A75B0C">
      <w:pPr>
        <w:pStyle w:val="BodyText"/>
        <w:numPr>
          <w:ilvl w:val="0"/>
          <w:numId w:val="1"/>
        </w:numPr>
        <w:tabs>
          <w:tab w:val="left" w:pos="821"/>
        </w:tabs>
        <w:spacing w:line="277" w:lineRule="auto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sites</w:t>
      </w:r>
      <w:r w:rsidR="00457189">
        <w:t xml:space="preserve">, </w:t>
      </w:r>
      <w:r>
        <w:rPr>
          <w:spacing w:val="-1"/>
        </w:rPr>
        <w:t>such</w:t>
      </w:r>
      <w:r>
        <w:t xml:space="preserve"> as </w:t>
      </w:r>
      <w:r>
        <w:rPr>
          <w:spacing w:val="-1"/>
        </w:rPr>
        <w:t>Facebook</w:t>
      </w:r>
      <w:r w:rsidR="00482090">
        <w:rPr>
          <w:spacing w:val="-1"/>
        </w:rPr>
        <w:t xml:space="preserve"> and Twitter</w:t>
      </w:r>
      <w:r w:rsidR="00457189">
        <w:rPr>
          <w:spacing w:val="-1"/>
        </w:rPr>
        <w:t>,</w:t>
      </w:r>
      <w:r>
        <w:rPr>
          <w:spacing w:val="-2"/>
        </w:rPr>
        <w:t xml:space="preserve"> </w:t>
      </w:r>
      <w:r w:rsidR="00A75B0C"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used</w:t>
      </w:r>
      <w:r>
        <w:rPr>
          <w:spacing w:val="-1"/>
        </w:rPr>
        <w:t xml:space="preserve"> </w:t>
      </w:r>
      <w:r>
        <w:t>as</w:t>
      </w:r>
      <w:r w:rsidR="00A75B0C">
        <w:t xml:space="preserve"> </w:t>
      </w:r>
      <w:r>
        <w:rPr>
          <w:spacing w:val="-1"/>
        </w:rPr>
        <w:t>complimentary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proofErr w:type="spellStart"/>
      <w:r>
        <w:rPr>
          <w:rFonts w:cs="Calibri"/>
          <w:spacing w:val="-2"/>
        </w:rPr>
        <w:t>FGOFA’</w:t>
      </w:r>
      <w:r>
        <w:rPr>
          <w:spacing w:val="-2"/>
        </w:rPr>
        <w:t>s</w:t>
      </w:r>
      <w:proofErr w:type="spellEnd"/>
      <w: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rPr>
          <w:spacing w:val="-1"/>
        </w:rPr>
        <w:t>website.</w:t>
      </w:r>
    </w:p>
    <w:p w14:paraId="283577F8" w14:textId="1C59B366" w:rsidR="00482D5B" w:rsidRDefault="00285F18" w:rsidP="00482090">
      <w:pPr>
        <w:pStyle w:val="BodyText"/>
        <w:numPr>
          <w:ilvl w:val="0"/>
          <w:numId w:val="1"/>
        </w:numPr>
        <w:tabs>
          <w:tab w:val="left" w:pos="821"/>
        </w:tabs>
        <w:spacing w:before="196" w:line="277" w:lineRule="auto"/>
        <w:ind w:right="163"/>
      </w:pPr>
      <w:r w:rsidRPr="00482090">
        <w:rPr>
          <w:spacing w:val="-1"/>
        </w:rPr>
        <w:t>Comments, articles,</w:t>
      </w:r>
      <w:r w:rsidRPr="00482090">
        <w:rPr>
          <w:spacing w:val="-2"/>
        </w:rPr>
        <w:t xml:space="preserve"> </w:t>
      </w:r>
      <w:r>
        <w:t>or any</w:t>
      </w:r>
      <w:r w:rsidRPr="00482090">
        <w:rPr>
          <w:spacing w:val="-4"/>
        </w:rPr>
        <w:t xml:space="preserve"> </w:t>
      </w:r>
      <w:r>
        <w:t>other</w:t>
      </w:r>
      <w:r w:rsidRPr="00482090">
        <w:rPr>
          <w:spacing w:val="-2"/>
        </w:rPr>
        <w:t xml:space="preserve"> </w:t>
      </w:r>
      <w:r w:rsidRPr="00482090">
        <w:rPr>
          <w:spacing w:val="-1"/>
        </w:rPr>
        <w:t>content</w:t>
      </w:r>
      <w:r w:rsidRPr="00482090">
        <w:rPr>
          <w:spacing w:val="-2"/>
        </w:rPr>
        <w:t xml:space="preserve"> </w:t>
      </w:r>
      <w:r w:rsidRPr="00482090">
        <w:rPr>
          <w:spacing w:val="-1"/>
        </w:rPr>
        <w:t>containing any</w:t>
      </w:r>
      <w:r>
        <w:t xml:space="preserve"> of</w:t>
      </w:r>
      <w:r w:rsidRPr="00482090">
        <w:rPr>
          <w:spacing w:val="-3"/>
        </w:rPr>
        <w:t xml:space="preserve"> </w:t>
      </w:r>
      <w:r w:rsidRPr="00482090">
        <w:rPr>
          <w:spacing w:val="-1"/>
        </w:rPr>
        <w:t>the</w:t>
      </w:r>
      <w:r>
        <w:t xml:space="preserve"> </w:t>
      </w:r>
      <w:r w:rsidRPr="00482090">
        <w:rPr>
          <w:spacing w:val="-1"/>
        </w:rPr>
        <w:t>following</w:t>
      </w:r>
      <w:r w:rsidRPr="00482090">
        <w:rPr>
          <w:spacing w:val="-2"/>
        </w:rPr>
        <w:t xml:space="preserve"> </w:t>
      </w:r>
      <w:r w:rsidRPr="00482090">
        <w:rPr>
          <w:spacing w:val="-1"/>
        </w:rPr>
        <w:t>shall</w:t>
      </w:r>
      <w:r>
        <w:t xml:space="preserve"> </w:t>
      </w:r>
      <w:r w:rsidRPr="00482090">
        <w:rPr>
          <w:spacing w:val="-2"/>
        </w:rPr>
        <w:t>not</w:t>
      </w:r>
      <w:r>
        <w:t xml:space="preserve"> </w:t>
      </w:r>
      <w:r w:rsidRPr="00482090">
        <w:rPr>
          <w:spacing w:val="-1"/>
        </w:rPr>
        <w:t>be</w:t>
      </w:r>
      <w:r>
        <w:t xml:space="preserve"> </w:t>
      </w:r>
      <w:r w:rsidRPr="00482090">
        <w:rPr>
          <w:spacing w:val="-1"/>
        </w:rPr>
        <w:t>allowed</w:t>
      </w:r>
      <w:r>
        <w:t xml:space="preserve"> on</w:t>
      </w:r>
      <w:r w:rsidR="00457189">
        <w:t xml:space="preserve"> a</w:t>
      </w:r>
      <w:r w:rsidRPr="00482090">
        <w:rPr>
          <w:spacing w:val="-1"/>
        </w:rPr>
        <w:t>ny</w:t>
      </w:r>
      <w:r>
        <w:t xml:space="preserve"> of</w:t>
      </w:r>
      <w:r w:rsidRPr="00482090">
        <w:rPr>
          <w:spacing w:val="-2"/>
        </w:rPr>
        <w:t xml:space="preserve"> </w:t>
      </w:r>
      <w:r w:rsidRPr="00482090">
        <w:rPr>
          <w:rFonts w:cs="Calibri"/>
        </w:rPr>
        <w:t xml:space="preserve">the </w:t>
      </w:r>
      <w:proofErr w:type="spellStart"/>
      <w:r w:rsidRPr="00482090">
        <w:rPr>
          <w:rFonts w:cs="Calibri"/>
          <w:spacing w:val="-1"/>
        </w:rPr>
        <w:t>FGFOA’s</w:t>
      </w:r>
      <w:proofErr w:type="spellEnd"/>
      <w:r w:rsidRPr="00482090">
        <w:rPr>
          <w:rFonts w:cs="Calibri"/>
        </w:rPr>
        <w:t xml:space="preserve"> </w:t>
      </w:r>
      <w:r w:rsidRPr="00482090">
        <w:rPr>
          <w:spacing w:val="-1"/>
        </w:rPr>
        <w:t>social</w:t>
      </w:r>
      <w:r w:rsidRPr="00482090">
        <w:rPr>
          <w:spacing w:val="-3"/>
        </w:rPr>
        <w:t xml:space="preserve"> </w:t>
      </w:r>
      <w:r w:rsidRPr="00482090">
        <w:rPr>
          <w:spacing w:val="-1"/>
        </w:rPr>
        <w:t>media</w:t>
      </w:r>
      <w:r>
        <w:t xml:space="preserve"> </w:t>
      </w:r>
      <w:r w:rsidRPr="00482090">
        <w:rPr>
          <w:spacing w:val="-2"/>
        </w:rPr>
        <w:t>sites:</w:t>
      </w:r>
    </w:p>
    <w:p w14:paraId="26483A40" w14:textId="3B563FA3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  <w:spacing w:before="196" w:line="269" w:lineRule="auto"/>
        <w:ind w:right="231"/>
      </w:pPr>
      <w:r>
        <w:rPr>
          <w:spacing w:val="-1"/>
        </w:rPr>
        <w:t>Comments</w:t>
      </w:r>
      <w:r>
        <w:t xml:space="preserve"> in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opposition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political</w:t>
      </w:r>
      <w:r>
        <w:t xml:space="preserve"> </w:t>
      </w:r>
      <w:r>
        <w:rPr>
          <w:spacing w:val="-1"/>
        </w:rPr>
        <w:t>campaigns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ballot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t xml:space="preserve"> that</w:t>
      </w:r>
      <w:r w:rsidR="00457189">
        <w:t xml:space="preserve"> a</w:t>
      </w:r>
      <w:r>
        <w:t xml:space="preserve">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consistent with</w:t>
      </w:r>
      <w:r>
        <w:t xml:space="preserve"> </w:t>
      </w:r>
      <w:r>
        <w:rPr>
          <w:spacing w:val="-1"/>
        </w:rPr>
        <w:t>adopted Board positions;</w:t>
      </w:r>
    </w:p>
    <w:p w14:paraId="3BEF8094" w14:textId="77777777" w:rsidR="00482D5B" w:rsidRDefault="00482D5B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6E248F5B" w14:textId="3AC727F5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  <w:spacing w:line="271" w:lineRule="auto"/>
        <w:ind w:right="493"/>
      </w:pP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advertising services,</w:t>
      </w:r>
      <w:r>
        <w:t xml:space="preserve"> </w:t>
      </w:r>
      <w:r>
        <w:rPr>
          <w:spacing w:val="-1"/>
        </w:rPr>
        <w:t>soliciting business,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distributing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self</w:t>
      </w:r>
      <w:r w:rsidR="00457189">
        <w:t>-</w:t>
      </w:r>
      <w:r>
        <w:rPr>
          <w:spacing w:val="-1"/>
        </w:rPr>
        <w:t>promoting</w:t>
      </w:r>
      <w:r>
        <w:rPr>
          <w:spacing w:val="-3"/>
        </w:rPr>
        <w:t xml:space="preserve"> </w:t>
      </w:r>
      <w:r>
        <w:rPr>
          <w:spacing w:val="-1"/>
        </w:rPr>
        <w:t>material for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or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“for</w:t>
      </w:r>
      <w:r>
        <w:rPr>
          <w:spacing w:val="-1"/>
        </w:rPr>
        <w:t>-</w:t>
      </w:r>
      <w:r>
        <w:rPr>
          <w:rFonts w:cs="Calibri"/>
          <w:spacing w:val="-1"/>
        </w:rPr>
        <w:t xml:space="preserve">profit” </w:t>
      </w:r>
      <w:r>
        <w:rPr>
          <w:spacing w:val="-1"/>
        </w:rPr>
        <w:t>organization;</w:t>
      </w:r>
    </w:p>
    <w:p w14:paraId="0B9C99A3" w14:textId="77777777" w:rsidR="00482D5B" w:rsidRDefault="00482D5B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11BEB432" w14:textId="47811C50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  <w:spacing w:line="273" w:lineRule="auto"/>
        <w:ind w:right="163"/>
      </w:pP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advertising services,</w:t>
      </w:r>
      <w:r>
        <w:t xml:space="preserve"> </w:t>
      </w:r>
      <w:r>
        <w:rPr>
          <w:spacing w:val="-1"/>
        </w:rPr>
        <w:t>soliciting business,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distributing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self-</w:t>
      </w:r>
      <w:r>
        <w:rPr>
          <w:spacing w:val="55"/>
        </w:rPr>
        <w:t xml:space="preserve"> </w:t>
      </w:r>
      <w:r>
        <w:rPr>
          <w:rFonts w:cs="Calibri"/>
          <w:spacing w:val="-1"/>
        </w:rPr>
        <w:lastRenderedPageBreak/>
        <w:t>promoting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material for</w:t>
      </w:r>
      <w:r>
        <w:rPr>
          <w:rFonts w:cs="Calibri"/>
        </w:rPr>
        <w:t xml:space="preserve"> any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“not</w:t>
      </w:r>
      <w:r>
        <w:rPr>
          <w:spacing w:val="-1"/>
        </w:rPr>
        <w:t>-for-</w:t>
      </w:r>
      <w:r>
        <w:rPr>
          <w:rFonts w:cs="Calibri"/>
          <w:spacing w:val="-1"/>
        </w:rPr>
        <w:t xml:space="preserve">profit”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civic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organization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 w:rsidR="00457189">
        <w:t xml:space="preserve"> F</w:t>
      </w:r>
      <w:r>
        <w:rPr>
          <w:spacing w:val="-1"/>
        </w:rPr>
        <w:t>GFOA Executive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consultation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FGFOA</w:t>
      </w:r>
      <w:r>
        <w:rPr>
          <w:spacing w:val="-1"/>
        </w:rPr>
        <w:t xml:space="preserve"> President;</w:t>
      </w:r>
    </w:p>
    <w:p w14:paraId="01C292AC" w14:textId="4E4CFEC6" w:rsidR="00457189" w:rsidRPr="00457189" w:rsidRDefault="00285F18" w:rsidP="00457189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 xml:space="preserve">Profane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obscene language;</w:t>
      </w:r>
    </w:p>
    <w:p w14:paraId="3F28127D" w14:textId="77777777" w:rsidR="00457189" w:rsidRPr="00457189" w:rsidRDefault="00457189" w:rsidP="00457189">
      <w:pPr>
        <w:pStyle w:val="BodyText"/>
        <w:tabs>
          <w:tab w:val="left" w:pos="1541"/>
        </w:tabs>
        <w:ind w:left="0" w:firstLine="0"/>
      </w:pPr>
    </w:p>
    <w:p w14:paraId="7A3007D2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  <w:spacing w:before="37" w:line="273" w:lineRule="auto"/>
        <w:ind w:right="426"/>
      </w:pP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promotes,</w:t>
      </w:r>
      <w:r>
        <w:rPr>
          <w:spacing w:val="-3"/>
        </w:rPr>
        <w:t xml:space="preserve"> </w:t>
      </w:r>
      <w:r>
        <w:rPr>
          <w:spacing w:val="-1"/>
        </w:rPr>
        <w:t>fosters,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perpetuates</w:t>
      </w:r>
      <w:r>
        <w:t xml:space="preserve"> </w:t>
      </w:r>
      <w:r>
        <w:rPr>
          <w:spacing w:val="-1"/>
        </w:rPr>
        <w:t xml:space="preserve">discrimination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race,</w:t>
      </w:r>
      <w:r>
        <w:rPr>
          <w:spacing w:val="47"/>
        </w:rPr>
        <w:t xml:space="preserve"> </w:t>
      </w:r>
      <w:r>
        <w:rPr>
          <w:spacing w:val="-1"/>
        </w:rPr>
        <w:t>creed,</w:t>
      </w:r>
      <w:r>
        <w:rPr>
          <w:spacing w:val="-2"/>
        </w:rPr>
        <w:t xml:space="preserve"> </w:t>
      </w:r>
      <w:r>
        <w:rPr>
          <w:spacing w:val="-1"/>
        </w:rPr>
        <w:t>color,</w:t>
      </w:r>
      <w: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religion,</w:t>
      </w:r>
      <w:r>
        <w:rPr>
          <w:spacing w:val="-2"/>
        </w:rPr>
        <w:t xml:space="preserve"> </w:t>
      </w:r>
      <w:r>
        <w:rPr>
          <w:spacing w:val="-1"/>
        </w:rPr>
        <w:t>gender,</w:t>
      </w:r>
      <w:r>
        <w:rPr>
          <w:spacing w:val="-2"/>
        </w:rPr>
        <w:t xml:space="preserve"> genetic identity, </w:t>
      </w:r>
      <w:r>
        <w:rPr>
          <w:spacing w:val="-1"/>
        </w:rPr>
        <w:t>marital</w:t>
      </w:r>
      <w:r>
        <w:t xml:space="preserve"> </w:t>
      </w:r>
      <w:r>
        <w:rPr>
          <w:spacing w:val="-1"/>
        </w:rPr>
        <w:t>status,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origin,</w:t>
      </w:r>
      <w: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71"/>
        </w:rPr>
        <w:t xml:space="preserve"> </w:t>
      </w:r>
      <w:r>
        <w:rPr>
          <w:spacing w:val="-1"/>
        </w:rPr>
        <w:t>disability,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orientation;</w:t>
      </w:r>
    </w:p>
    <w:p w14:paraId="1FA8EBD1" w14:textId="77777777" w:rsidR="00482D5B" w:rsidRDefault="00482D5B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2E6B7363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links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content;</w:t>
      </w:r>
    </w:p>
    <w:p w14:paraId="6B367B39" w14:textId="77777777" w:rsidR="00482D5B" w:rsidRDefault="00482D5B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242226E1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>Gambling content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links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gambling content;</w:t>
      </w:r>
    </w:p>
    <w:p w14:paraId="4D3A523D" w14:textId="77777777" w:rsidR="00482D5B" w:rsidRDefault="00482D5B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5171D975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encouragement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illegal</w:t>
      </w:r>
      <w:r>
        <w:t xml:space="preserve"> </w:t>
      </w:r>
      <w:r>
        <w:rPr>
          <w:spacing w:val="-1"/>
        </w:rPr>
        <w:t>activity;</w:t>
      </w:r>
    </w:p>
    <w:p w14:paraId="17B03B8B" w14:textId="77777777" w:rsidR="00482D5B" w:rsidRDefault="00482D5B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5EE8F566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  <w:spacing w:line="271" w:lineRule="auto"/>
        <w:ind w:right="172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tend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compromise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safety </w:t>
      </w:r>
      <w:r>
        <w:t xml:space="preserve">or </w:t>
      </w:r>
      <w:r>
        <w:rPr>
          <w:spacing w:val="-1"/>
        </w:rPr>
        <w:t xml:space="preserve">security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43"/>
        </w:rPr>
        <w:t xml:space="preserve"> </w:t>
      </w:r>
      <w:r>
        <w:rPr>
          <w:spacing w:val="-1"/>
        </w:rPr>
        <w:t>systems;</w:t>
      </w:r>
    </w:p>
    <w:p w14:paraId="2A1B22D9" w14:textId="77777777" w:rsidR="00482D5B" w:rsidRDefault="00482D5B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6E149BAC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violates</w:t>
      </w:r>
      <w:r>
        <w:t xml:space="preserve"> a </w:t>
      </w:r>
      <w:r>
        <w:rPr>
          <w:spacing w:val="-1"/>
        </w:rPr>
        <w:t>legal ownership interest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party;</w:t>
      </w:r>
    </w:p>
    <w:p w14:paraId="27A50235" w14:textId="77777777" w:rsidR="00482D5B" w:rsidRDefault="00482D5B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00527450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promotes</w:t>
      </w:r>
      <w:r>
        <w:rPr>
          <w:spacing w:val="-3"/>
        </w:rPr>
        <w:t xml:space="preserve"> </w:t>
      </w:r>
      <w:r>
        <w:rPr>
          <w:spacing w:val="-1"/>
        </w:rPr>
        <w:t xml:space="preserve">bullying </w:t>
      </w:r>
      <w:r>
        <w:t xml:space="preserve">or </w:t>
      </w:r>
      <w:r>
        <w:rPr>
          <w:spacing w:val="-1"/>
        </w:rPr>
        <w:t>harassment;</w:t>
      </w:r>
    </w:p>
    <w:p w14:paraId="7644D85B" w14:textId="77777777" w:rsidR="00482D5B" w:rsidRDefault="00482D5B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4A2D1D36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</w:pP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alcohol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legal/illegal </w:t>
      </w:r>
      <w:r>
        <w:rPr>
          <w:spacing w:val="-2"/>
        </w:rPr>
        <w:t>drugs;</w:t>
      </w:r>
    </w:p>
    <w:p w14:paraId="3FC6761C" w14:textId="77777777" w:rsidR="00482D5B" w:rsidRDefault="00482D5B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3BADF3AD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  <w:spacing w:line="271" w:lineRule="auto"/>
        <w:ind w:right="513"/>
      </w:pP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 xml:space="preserve">confidential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proprietary</w:t>
      </w:r>
      <w:r>
        <w:rPr>
          <w:spacing w:val="-2"/>
        </w:rPr>
        <w:t xml:space="preserve"> </w:t>
      </w:r>
      <w:r>
        <w:rPr>
          <w:spacing w:val="-1"/>
        </w:rPr>
        <w:t>information about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FGFOA,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61"/>
        </w:rPr>
        <w:t xml:space="preserve"> </w:t>
      </w:r>
      <w:r>
        <w:rPr>
          <w:spacing w:val="-1"/>
        </w:rPr>
        <w:t xml:space="preserve">members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vendors;</w:t>
      </w:r>
      <w:r>
        <w:t xml:space="preserve"> and</w:t>
      </w:r>
    </w:p>
    <w:p w14:paraId="1B6A1615" w14:textId="77777777" w:rsidR="00482D5B" w:rsidRDefault="00482D5B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4FDDDC20" w14:textId="77777777" w:rsidR="00482D5B" w:rsidRDefault="00285F18">
      <w:pPr>
        <w:pStyle w:val="BodyText"/>
        <w:numPr>
          <w:ilvl w:val="1"/>
          <w:numId w:val="1"/>
        </w:numPr>
        <w:tabs>
          <w:tab w:val="left" w:pos="1541"/>
        </w:tabs>
        <w:rPr>
          <w:rFonts w:cs="Calibri"/>
        </w:rPr>
      </w:pPr>
      <w:r>
        <w:rPr>
          <w:rFonts w:cs="Calibri"/>
          <w:spacing w:val="-1"/>
        </w:rPr>
        <w:t>Content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violates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another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person’s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right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privacy.</w:t>
      </w:r>
    </w:p>
    <w:p w14:paraId="0D528FD2" w14:textId="77777777" w:rsidR="00482D5B" w:rsidRDefault="00482D5B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336416C0" w14:textId="77777777" w:rsidR="00482D5B" w:rsidRDefault="00285F18">
      <w:pPr>
        <w:pStyle w:val="BodyText"/>
        <w:ind w:left="100" w:right="17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FGFOA reserves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restrict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remove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deemed</w:t>
      </w:r>
      <w:r>
        <w:t xml:space="preserve"> in</w:t>
      </w:r>
      <w:r>
        <w:rPr>
          <w:spacing w:val="-1"/>
        </w:rPr>
        <w:t xml:space="preserve"> violation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social</w:t>
      </w:r>
      <w:r>
        <w:rPr>
          <w:spacing w:val="77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policy.</w:t>
      </w:r>
    </w:p>
    <w:sectPr w:rsidR="00482D5B" w:rsidSect="00482D5B">
      <w:pgSz w:w="12240" w:h="15840"/>
      <w:pgMar w:top="140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01E63"/>
    <w:multiLevelType w:val="hybridMultilevel"/>
    <w:tmpl w:val="08ACFD7C"/>
    <w:lvl w:ilvl="0" w:tplc="4498EA3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E89C2A4A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D9CCE6CE">
      <w:start w:val="1"/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2F088C32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EC64507A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E27410B8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06E7ED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A5180FF0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D05C0850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5B"/>
    <w:rsid w:val="00285F18"/>
    <w:rsid w:val="003B18E6"/>
    <w:rsid w:val="00457189"/>
    <w:rsid w:val="00482090"/>
    <w:rsid w:val="00482D5B"/>
    <w:rsid w:val="00554D38"/>
    <w:rsid w:val="00A75B0C"/>
    <w:rsid w:val="00AA5EF1"/>
    <w:rsid w:val="00AB51CC"/>
    <w:rsid w:val="00B4399B"/>
    <w:rsid w:val="00D044FE"/>
    <w:rsid w:val="00F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4383"/>
  <w15:docId w15:val="{DFE5D72D-F78D-4ACC-AB5B-ED6C8E7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2D5B"/>
  </w:style>
  <w:style w:type="paragraph" w:styleId="Heading1">
    <w:name w:val="heading 1"/>
    <w:basedOn w:val="Normal"/>
    <w:uiPriority w:val="1"/>
    <w:qFormat/>
    <w:rsid w:val="00482D5B"/>
    <w:pPr>
      <w:spacing w:before="1"/>
      <w:ind w:left="2981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2D5B"/>
    <w:pPr>
      <w:ind w:left="15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482D5B"/>
  </w:style>
  <w:style w:type="paragraph" w:customStyle="1" w:styleId="TableParagraph">
    <w:name w:val="Table Paragraph"/>
    <w:basedOn w:val="Normal"/>
    <w:uiPriority w:val="1"/>
    <w:qFormat/>
    <w:rsid w:val="00482D5B"/>
  </w:style>
  <w:style w:type="paragraph" w:styleId="BalloonText">
    <w:name w:val="Balloon Text"/>
    <w:basedOn w:val="Normal"/>
    <w:link w:val="BalloonTextChar"/>
    <w:uiPriority w:val="99"/>
    <w:semiHidden/>
    <w:unhideWhenUsed/>
    <w:rsid w:val="00482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gfo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E976-480F-49AF-9AB1-5BBD25A7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jgarner</dc:creator>
  <cp:lastModifiedBy>Jason Loschiavo</cp:lastModifiedBy>
  <cp:revision>5</cp:revision>
  <dcterms:created xsi:type="dcterms:W3CDTF">2017-01-04T19:08:00Z</dcterms:created>
  <dcterms:modified xsi:type="dcterms:W3CDTF">2017-03-01T20:39:00Z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LastSaved">
    <vt:filetime>2016-09-15T00:00:00Z</vt:filetime>
  </property>
</Properties>
</file>